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861BF6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861BF6" w:rsidRPr="00861BF6"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20291" w:rsidRPr="00D20291">
        <w:rPr>
          <w:b/>
          <w:sz w:val="44"/>
          <w:szCs w:val="44"/>
        </w:rPr>
        <w:t>4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305B" w:rsidRDefault="00B32E2C" w:rsidP="00703F16">
      <w:pPr>
        <w:pStyle w:val="20"/>
        <w:ind w:firstLine="709"/>
      </w:pPr>
      <w:r w:rsidRPr="00B32E2C">
        <w:lastRenderedPageBreak/>
        <w:t xml:space="preserve">В  Министерство   </w:t>
      </w:r>
      <w:r>
        <w:t>в</w:t>
      </w:r>
      <w:r w:rsidR="00861BF6">
        <w:t>о</w:t>
      </w:r>
      <w:r>
        <w:t xml:space="preserve"> </w:t>
      </w:r>
      <w:r w:rsidRPr="00B32E2C">
        <w:t xml:space="preserve"> </w:t>
      </w:r>
      <w:r w:rsidR="00861BF6">
        <w:t>2</w:t>
      </w:r>
      <w:r w:rsidRPr="00B32E2C">
        <w:t xml:space="preserve"> </w:t>
      </w:r>
      <w:r>
        <w:t xml:space="preserve">квартале </w:t>
      </w:r>
      <w:r w:rsidRPr="00B32E2C">
        <w:t xml:space="preserve"> 201</w:t>
      </w:r>
      <w:r w:rsidR="00D20291" w:rsidRPr="00D20291">
        <w:t>4</w:t>
      </w:r>
      <w:r w:rsidRPr="00B32E2C">
        <w:t xml:space="preserve"> года поступило  и рассмотрено</w:t>
      </w:r>
      <w:r w:rsidR="00761742">
        <w:t xml:space="preserve">  более</w:t>
      </w:r>
      <w:r>
        <w:t xml:space="preserve">  </w:t>
      </w:r>
      <w:r w:rsidR="00861BF6">
        <w:t>21</w:t>
      </w:r>
      <w:r w:rsidR="00761742">
        <w:t>,</w:t>
      </w:r>
      <w:r w:rsidR="00861BF6">
        <w:t xml:space="preserve"> </w:t>
      </w:r>
      <w:r w:rsidR="00761742">
        <w:t>5 тыс.</w:t>
      </w:r>
      <w:r w:rsidR="00D20291" w:rsidRPr="00D20291">
        <w:t xml:space="preserve"> </w:t>
      </w:r>
      <w:r w:rsidR="00D20291">
        <w:t>обращени</w:t>
      </w:r>
      <w:r w:rsidR="00761742">
        <w:t>й</w:t>
      </w:r>
      <w:r w:rsidRPr="00B32E2C">
        <w:t xml:space="preserve"> граждан, из них  контрольных </w:t>
      </w:r>
      <w:r>
        <w:t>–</w:t>
      </w:r>
      <w:r w:rsidRPr="00B32E2C">
        <w:t xml:space="preserve"> </w:t>
      </w:r>
      <w:r w:rsidR="00761742">
        <w:t>710</w:t>
      </w:r>
      <w:r w:rsidRPr="00B32E2C">
        <w:t xml:space="preserve"> 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98466" wp14:editId="1599006B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E">
        <w:rPr>
          <w:b/>
        </w:rPr>
        <w:t xml:space="preserve"> </w:t>
      </w:r>
    </w:p>
    <w:p w:rsidR="001423BE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1E2B3E" w:rsidRDefault="0030514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1182" w:type="dxa"/>
          </w:tcPr>
          <w:p w:rsidR="001E2B3E" w:rsidRPr="001E2B3E" w:rsidRDefault="00D20291" w:rsidP="0076174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17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61742">
              <w:rPr>
                <w:sz w:val="28"/>
                <w:szCs w:val="28"/>
              </w:rPr>
              <w:t>7</w:t>
            </w:r>
          </w:p>
        </w:tc>
      </w:tr>
      <w:tr w:rsidR="001E2B3E" w:rsidRPr="001E2B3E" w:rsidTr="006579F1">
        <w:trPr>
          <w:trHeight w:val="984"/>
        </w:trPr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 xml:space="preserve">- в </w:t>
            </w:r>
            <w:proofErr w:type="spellStart"/>
            <w:r w:rsidRPr="001E2B3E">
              <w:rPr>
                <w:sz w:val="28"/>
                <w:szCs w:val="28"/>
              </w:rPr>
              <w:t>т.ч</w:t>
            </w:r>
            <w:proofErr w:type="spellEnd"/>
            <w:r w:rsidRPr="001E2B3E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>
              <w:rPr>
                <w:sz w:val="28"/>
                <w:szCs w:val="28"/>
              </w:rPr>
              <w:t xml:space="preserve">                    </w:t>
            </w:r>
            <w:r w:rsidRPr="001E2B3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1E2B3E" w:rsidRDefault="0030514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1E2B3E" w:rsidRDefault="0030514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</w:t>
            </w:r>
          </w:p>
        </w:tc>
        <w:tc>
          <w:tcPr>
            <w:tcW w:w="1182" w:type="dxa"/>
          </w:tcPr>
          <w:p w:rsidR="001E2B3E" w:rsidRPr="001E2B3E" w:rsidRDefault="00D20291" w:rsidP="0076174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7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1E2B3E" w:rsidRDefault="0030514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1E2B3E" w:rsidRDefault="00761742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  <w:tc>
          <w:tcPr>
            <w:tcW w:w="1182" w:type="dxa"/>
          </w:tcPr>
          <w:p w:rsidR="001E2B3E" w:rsidRPr="001E2B3E" w:rsidRDefault="00761742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1E2B3E" w:rsidRDefault="00D20291" w:rsidP="0030514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14D">
              <w:rPr>
                <w:sz w:val="28"/>
                <w:szCs w:val="28"/>
              </w:rPr>
              <w:t>91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1E2B3E" w:rsidRDefault="00761742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21913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100</w:t>
            </w:r>
          </w:p>
        </w:tc>
      </w:tr>
    </w:tbl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20291" w:rsidRPr="00761742">
        <w:rPr>
          <w:sz w:val="28"/>
          <w:szCs w:val="28"/>
        </w:rPr>
        <w:t>9</w:t>
      </w:r>
      <w:r w:rsidR="00761742" w:rsidRPr="00761742">
        <w:rPr>
          <w:sz w:val="28"/>
          <w:szCs w:val="28"/>
        </w:rPr>
        <w:t>,4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Pr="001E2B3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Министерства</w:t>
      </w:r>
      <w:r w:rsidR="00053923">
        <w:rPr>
          <w:sz w:val="28"/>
          <w:szCs w:val="28"/>
        </w:rPr>
        <w:t xml:space="preserve"> </w:t>
      </w:r>
      <w:r w:rsidR="00D20291">
        <w:rPr>
          <w:sz w:val="28"/>
          <w:szCs w:val="28"/>
        </w:rPr>
        <w:t> </w:t>
      </w:r>
      <w:r w:rsidRPr="001E2B3E">
        <w:rPr>
          <w:sz w:val="28"/>
          <w:szCs w:val="28"/>
        </w:rPr>
        <w:t>(соотношение 1:</w:t>
      </w:r>
      <w:r w:rsidR="006860C8">
        <w:rPr>
          <w:sz w:val="28"/>
          <w:szCs w:val="28"/>
        </w:rPr>
        <w:t>3</w:t>
      </w:r>
      <w:r w:rsidRPr="001E2B3E">
        <w:rPr>
          <w:sz w:val="28"/>
          <w:szCs w:val="28"/>
        </w:rPr>
        <w:t>,</w:t>
      </w:r>
      <w:r w:rsidR="0030514D">
        <w:rPr>
          <w:sz w:val="28"/>
          <w:szCs w:val="28"/>
        </w:rPr>
        <w:t>4</w:t>
      </w:r>
      <w:r w:rsidRPr="001E2B3E">
        <w:rPr>
          <w:sz w:val="28"/>
          <w:szCs w:val="28"/>
        </w:rPr>
        <w:t xml:space="preserve"> поступления </w:t>
      </w:r>
      <w:r w:rsidR="00CB744C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 xml:space="preserve">письменных обращений граждан на бумажном носителе и в электронном виде).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 </w:t>
      </w:r>
      <w:r w:rsidR="001423BE">
        <w:rPr>
          <w:sz w:val="28"/>
          <w:szCs w:val="28"/>
        </w:rPr>
        <w:t>первого</w:t>
      </w:r>
      <w:r w:rsidR="00861BF6">
        <w:rPr>
          <w:sz w:val="28"/>
          <w:szCs w:val="28"/>
        </w:rPr>
        <w:t xml:space="preserve"> полугоди</w:t>
      </w:r>
      <w:r w:rsidR="001423BE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Министерстве </w:t>
      </w:r>
      <w:r w:rsidR="001423B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здравоохранения Российской Федерации  </w:t>
      </w:r>
      <w:r w:rsidR="001423BE"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 продолжена 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B3E" w:rsidRPr="001E2B3E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 источником поступления обращений 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</w:t>
      </w:r>
      <w:r w:rsidR="00053923">
        <w:rPr>
          <w:sz w:val="28"/>
          <w:szCs w:val="28"/>
        </w:rPr>
        <w:t xml:space="preserve">               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вопросам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861BF6">
        <w:rPr>
          <w:sz w:val="28"/>
          <w:szCs w:val="28"/>
        </w:rPr>
        <w:t xml:space="preserve"> </w:t>
      </w:r>
      <w:r w:rsidR="0030514D">
        <w:rPr>
          <w:sz w:val="28"/>
          <w:szCs w:val="28"/>
        </w:rPr>
        <w:t xml:space="preserve">  </w:t>
      </w:r>
      <w:r w:rsidR="00861BF6" w:rsidRPr="0030514D">
        <w:rPr>
          <w:sz w:val="28"/>
          <w:szCs w:val="28"/>
        </w:rPr>
        <w:t>(</w:t>
      </w:r>
      <w:r w:rsidR="001423BE">
        <w:rPr>
          <w:sz w:val="28"/>
          <w:szCs w:val="28"/>
        </w:rPr>
        <w:t xml:space="preserve">поступило                                на рассмотрение </w:t>
      </w:r>
      <w:r w:rsidR="0030514D" w:rsidRPr="0030514D">
        <w:rPr>
          <w:sz w:val="28"/>
          <w:szCs w:val="28"/>
        </w:rPr>
        <w:t>151</w:t>
      </w:r>
      <w:r w:rsidR="00861BF6" w:rsidRPr="0030514D">
        <w:rPr>
          <w:sz w:val="28"/>
          <w:szCs w:val="28"/>
        </w:rPr>
        <w:t xml:space="preserve">    обращени</w:t>
      </w:r>
      <w:r w:rsidR="0030514D" w:rsidRPr="0030514D">
        <w:rPr>
          <w:sz w:val="28"/>
          <w:szCs w:val="28"/>
        </w:rPr>
        <w:t>е</w:t>
      </w:r>
      <w:r w:rsidR="00861BF6" w:rsidRPr="0030514D">
        <w:rPr>
          <w:sz w:val="28"/>
          <w:szCs w:val="28"/>
        </w:rPr>
        <w:t>)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 w:rsidRPr="00D20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>
        <w:rPr>
          <w:sz w:val="28"/>
          <w:szCs w:val="28"/>
        </w:rPr>
        <w:t>а</w:t>
      </w:r>
      <w:r w:rsidR="00053923">
        <w:rPr>
          <w:sz w:val="28"/>
          <w:szCs w:val="28"/>
        </w:rPr>
        <w:t xml:space="preserve"> горячей линии </w:t>
      </w:r>
      <w:r w:rsidRPr="00D20291">
        <w:rPr>
          <w:sz w:val="28"/>
          <w:szCs w:val="28"/>
        </w:rPr>
        <w:t xml:space="preserve">по вопросам оказания бесплатной </w:t>
      </w:r>
      <w:r w:rsidR="001423BE">
        <w:rPr>
          <w:sz w:val="28"/>
          <w:szCs w:val="28"/>
        </w:rPr>
        <w:t xml:space="preserve">                            </w:t>
      </w:r>
      <w:r w:rsidRPr="00D20291">
        <w:rPr>
          <w:sz w:val="28"/>
          <w:szCs w:val="28"/>
        </w:rPr>
        <w:t>медицинской помощи</w:t>
      </w:r>
      <w:r w:rsidR="0030514D">
        <w:rPr>
          <w:sz w:val="28"/>
          <w:szCs w:val="28"/>
        </w:rPr>
        <w:t xml:space="preserve"> </w:t>
      </w:r>
      <w:r w:rsidR="001423BE">
        <w:rPr>
          <w:sz w:val="28"/>
          <w:szCs w:val="28"/>
        </w:rPr>
        <w:t xml:space="preserve">(поступило на рассмотрение </w:t>
      </w:r>
      <w:r w:rsidR="0030514D">
        <w:rPr>
          <w:sz w:val="28"/>
          <w:szCs w:val="28"/>
        </w:rPr>
        <w:t xml:space="preserve">6206 </w:t>
      </w:r>
      <w:r w:rsidR="00861BF6" w:rsidRPr="00861BF6">
        <w:rPr>
          <w:sz w:val="28"/>
          <w:szCs w:val="28"/>
        </w:rPr>
        <w:t xml:space="preserve"> обращений);</w:t>
      </w:r>
    </w:p>
    <w:p w:rsidR="00CB744C" w:rsidRDefault="00053923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861BF6">
        <w:rPr>
          <w:sz w:val="28"/>
          <w:szCs w:val="28"/>
        </w:rPr>
        <w:t xml:space="preserve"> </w:t>
      </w:r>
      <w:r w:rsidR="00861BF6" w:rsidRPr="00861BF6">
        <w:rPr>
          <w:sz w:val="28"/>
          <w:szCs w:val="28"/>
        </w:rPr>
        <w:t>(</w:t>
      </w:r>
      <w:r w:rsidR="001423BE">
        <w:rPr>
          <w:sz w:val="28"/>
          <w:szCs w:val="28"/>
        </w:rPr>
        <w:t xml:space="preserve">поступило на рассмотрение                       </w:t>
      </w:r>
      <w:r w:rsidR="0030514D">
        <w:rPr>
          <w:sz w:val="28"/>
          <w:szCs w:val="28"/>
        </w:rPr>
        <w:t>18</w:t>
      </w:r>
      <w:r w:rsidR="00861BF6" w:rsidRPr="00861BF6">
        <w:rPr>
          <w:sz w:val="28"/>
          <w:szCs w:val="28"/>
        </w:rPr>
        <w:t xml:space="preserve"> обращений</w:t>
      </w:r>
      <w:r w:rsidR="00761742">
        <w:rPr>
          <w:sz w:val="28"/>
          <w:szCs w:val="28"/>
        </w:rPr>
        <w:t>)</w:t>
      </w:r>
      <w:r w:rsidR="00D20291">
        <w:rPr>
          <w:sz w:val="28"/>
          <w:szCs w:val="28"/>
        </w:rPr>
        <w:t>.</w:t>
      </w:r>
      <w:r w:rsidR="00D20291" w:rsidRPr="00D20291">
        <w:rPr>
          <w:sz w:val="28"/>
          <w:szCs w:val="28"/>
        </w:rPr>
        <w:t xml:space="preserve">             </w:t>
      </w:r>
    </w:p>
    <w:p w:rsidR="00CB744C" w:rsidRDefault="00CB744C" w:rsidP="00703F1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</w:t>
      </w:r>
    </w:p>
    <w:p w:rsidR="00282BB3" w:rsidRPr="00CB744C" w:rsidRDefault="00D966CF" w:rsidP="00CB744C">
      <w:pPr>
        <w:ind w:firstLine="720"/>
        <w:jc w:val="center"/>
        <w:rPr>
          <w:b/>
          <w:sz w:val="28"/>
          <w:szCs w:val="20"/>
        </w:rPr>
      </w:pPr>
      <w:r w:rsidRPr="00CB744C">
        <w:rPr>
          <w:b/>
          <w:sz w:val="28"/>
          <w:szCs w:val="20"/>
        </w:rPr>
        <w:t>Д</w:t>
      </w:r>
      <w:r w:rsidR="00F478E6" w:rsidRPr="00CB744C">
        <w:rPr>
          <w:b/>
          <w:sz w:val="28"/>
          <w:szCs w:val="20"/>
        </w:rPr>
        <w:t xml:space="preserve">инамика </w:t>
      </w:r>
      <w:r w:rsidR="00282BB3" w:rsidRPr="00CB744C">
        <w:rPr>
          <w:b/>
          <w:sz w:val="28"/>
          <w:szCs w:val="20"/>
        </w:rPr>
        <w:t xml:space="preserve">ежемесячного </w:t>
      </w:r>
      <w:r w:rsidR="00F478E6" w:rsidRPr="00CB744C">
        <w:rPr>
          <w:b/>
          <w:sz w:val="28"/>
          <w:szCs w:val="20"/>
        </w:rPr>
        <w:t>поступлени</w:t>
      </w:r>
      <w:r w:rsidR="00282BB3" w:rsidRPr="00CB744C">
        <w:rPr>
          <w:b/>
          <w:sz w:val="28"/>
          <w:szCs w:val="20"/>
        </w:rPr>
        <w:t>я</w:t>
      </w:r>
      <w:r w:rsidR="00F478E6" w:rsidRPr="00CB744C">
        <w:rPr>
          <w:b/>
          <w:sz w:val="28"/>
          <w:szCs w:val="20"/>
        </w:rPr>
        <w:t xml:space="preserve"> </w:t>
      </w:r>
      <w:r w:rsidRPr="00CB744C">
        <w:rPr>
          <w:b/>
          <w:sz w:val="28"/>
          <w:szCs w:val="20"/>
        </w:rPr>
        <w:t xml:space="preserve">обращений </w:t>
      </w:r>
      <w:r w:rsidR="00F478E6" w:rsidRPr="00CB744C">
        <w:rPr>
          <w:b/>
          <w:sz w:val="28"/>
          <w:szCs w:val="20"/>
        </w:rPr>
        <w:t xml:space="preserve"> граждан</w:t>
      </w:r>
    </w:p>
    <w:p w:rsidR="00304BE2" w:rsidRDefault="00F478E6" w:rsidP="00FB5556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 xml:space="preserve">в </w:t>
      </w:r>
      <w:r w:rsidR="007F3D29" w:rsidRPr="0054305B">
        <w:rPr>
          <w:b/>
        </w:rPr>
        <w:t xml:space="preserve"> </w:t>
      </w:r>
      <w:r w:rsidR="0096165D" w:rsidRPr="0054305B">
        <w:rPr>
          <w:b/>
        </w:rPr>
        <w:t>Министерство здравоохранения Российской Федерации</w:t>
      </w:r>
      <w:r w:rsidR="0076517F">
        <w:rPr>
          <w:b/>
        </w:rPr>
        <w:t xml:space="preserve"> </w:t>
      </w:r>
    </w:p>
    <w:p w:rsidR="00AB258E" w:rsidRDefault="0080490E" w:rsidP="0054305B">
      <w:pPr>
        <w:pStyle w:val="20"/>
        <w:spacing w:line="240" w:lineRule="auto"/>
        <w:ind w:firstLine="709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BBB43DB" wp14:editId="6A27173A">
            <wp:extent cx="5273749" cy="39449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95A" w:rsidRDefault="0086495A" w:rsidP="00142A34">
      <w:pPr>
        <w:pStyle w:val="20"/>
        <w:tabs>
          <w:tab w:val="left" w:pos="4605"/>
        </w:tabs>
        <w:spacing w:line="240" w:lineRule="auto"/>
        <w:jc w:val="center"/>
        <w:rPr>
          <w:b/>
          <w:lang w:val="en-US"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1F6">
        <w:rPr>
          <w:sz w:val="28"/>
          <w:szCs w:val="28"/>
        </w:rPr>
        <w:t>В</w:t>
      </w:r>
      <w:r w:rsidR="00861BF6">
        <w:rPr>
          <w:sz w:val="28"/>
          <w:szCs w:val="28"/>
        </w:rPr>
        <w:t>о</w:t>
      </w:r>
      <w:r w:rsidRPr="009321F6">
        <w:rPr>
          <w:sz w:val="28"/>
          <w:szCs w:val="28"/>
        </w:rPr>
        <w:t xml:space="preserve"> </w:t>
      </w:r>
      <w:r w:rsidR="00861BF6">
        <w:rPr>
          <w:sz w:val="28"/>
          <w:szCs w:val="28"/>
        </w:rPr>
        <w:t>2</w:t>
      </w:r>
      <w:r w:rsidRPr="009321F6">
        <w:rPr>
          <w:sz w:val="28"/>
          <w:szCs w:val="28"/>
        </w:rPr>
        <w:t xml:space="preserve"> квартале 201</w:t>
      </w:r>
      <w:r w:rsidR="00405589">
        <w:rPr>
          <w:sz w:val="28"/>
          <w:szCs w:val="28"/>
        </w:rPr>
        <w:t xml:space="preserve">4 </w:t>
      </w:r>
      <w:r w:rsidRPr="009321F6">
        <w:rPr>
          <w:sz w:val="28"/>
          <w:szCs w:val="28"/>
        </w:rPr>
        <w:t xml:space="preserve">г. </w:t>
      </w:r>
      <w:r w:rsidR="00405589">
        <w:rPr>
          <w:sz w:val="28"/>
          <w:szCs w:val="28"/>
        </w:rPr>
        <w:t>5</w:t>
      </w:r>
      <w:r w:rsidR="0030514D">
        <w:rPr>
          <w:sz w:val="28"/>
          <w:szCs w:val="28"/>
        </w:rPr>
        <w:t>66</w:t>
      </w:r>
      <w:r w:rsidR="00861BF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граждан</w:t>
      </w:r>
      <w:r w:rsidR="00861BF6">
        <w:rPr>
          <w:sz w:val="28"/>
          <w:szCs w:val="28"/>
        </w:rPr>
        <w:t xml:space="preserve"> (за 1 полугодие 2014 года </w:t>
      </w:r>
      <w:r w:rsidR="0030514D">
        <w:rPr>
          <w:sz w:val="28"/>
          <w:szCs w:val="28"/>
        </w:rPr>
        <w:t>–</w:t>
      </w:r>
      <w:r w:rsidR="00B63093">
        <w:rPr>
          <w:sz w:val="28"/>
          <w:szCs w:val="28"/>
        </w:rPr>
        <w:t xml:space="preserve"> </w:t>
      </w:r>
      <w:r w:rsidR="0030514D">
        <w:rPr>
          <w:sz w:val="28"/>
          <w:szCs w:val="28"/>
        </w:rPr>
        <w:t>1114                 человек)</w:t>
      </w:r>
      <w:r w:rsidRPr="009321F6">
        <w:rPr>
          <w:sz w:val="28"/>
          <w:szCs w:val="28"/>
        </w:rPr>
        <w:t xml:space="preserve"> обратил</w:t>
      </w:r>
      <w:r w:rsidR="007C2EAF">
        <w:rPr>
          <w:sz w:val="28"/>
          <w:szCs w:val="28"/>
        </w:rPr>
        <w:t>и</w:t>
      </w:r>
      <w:r w:rsidRPr="009321F6">
        <w:rPr>
          <w:sz w:val="28"/>
          <w:szCs w:val="28"/>
        </w:rPr>
        <w:t xml:space="preserve">сь в </w:t>
      </w:r>
      <w:r>
        <w:rPr>
          <w:sz w:val="28"/>
          <w:szCs w:val="28"/>
        </w:rPr>
        <w:t>О</w:t>
      </w:r>
      <w:r w:rsidRPr="009321F6">
        <w:rPr>
          <w:sz w:val="28"/>
          <w:szCs w:val="28"/>
        </w:rPr>
        <w:t>бщественную</w:t>
      </w:r>
      <w:r w:rsidR="0040558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приемную Минздрав</w:t>
      </w:r>
      <w:r w:rsidR="00B63093">
        <w:rPr>
          <w:sz w:val="28"/>
          <w:szCs w:val="28"/>
        </w:rPr>
        <w:t>а</w:t>
      </w:r>
      <w:r w:rsidRPr="009321F6">
        <w:rPr>
          <w:sz w:val="28"/>
          <w:szCs w:val="28"/>
        </w:rPr>
        <w:t xml:space="preserve"> России, где смогли получить разъяснения по интересующим</w:t>
      </w:r>
      <w:r w:rsidR="00405589">
        <w:rPr>
          <w:sz w:val="28"/>
          <w:szCs w:val="28"/>
        </w:rPr>
        <w:t xml:space="preserve">   </w:t>
      </w:r>
      <w:r w:rsidRPr="009321F6">
        <w:rPr>
          <w:sz w:val="28"/>
          <w:szCs w:val="28"/>
        </w:rPr>
        <w:t>их вопросам, входящим в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>компете</w:t>
      </w:r>
      <w:r w:rsidRPr="009321F6">
        <w:rPr>
          <w:sz w:val="28"/>
          <w:szCs w:val="28"/>
        </w:rPr>
        <w:t>н</w:t>
      </w:r>
      <w:r w:rsidRPr="009321F6">
        <w:rPr>
          <w:sz w:val="28"/>
          <w:szCs w:val="28"/>
        </w:rPr>
        <w:t xml:space="preserve">цию Министерства, из них </w:t>
      </w:r>
      <w:r w:rsidR="007C2EAF">
        <w:rPr>
          <w:sz w:val="28"/>
          <w:szCs w:val="28"/>
        </w:rPr>
        <w:t>3</w:t>
      </w:r>
      <w:r w:rsidR="0030514D">
        <w:rPr>
          <w:sz w:val="28"/>
          <w:szCs w:val="28"/>
        </w:rPr>
        <w:t xml:space="preserve">75 </w:t>
      </w:r>
      <w:r w:rsidRPr="009321F6">
        <w:rPr>
          <w:sz w:val="28"/>
          <w:szCs w:val="28"/>
        </w:rPr>
        <w:t>граждан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 xml:space="preserve"> воспользовались возможностью в ходе личного приема оставить свои 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>письменные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обращения для получения соотве</w:t>
      </w:r>
      <w:r w:rsidRPr="009321F6">
        <w:rPr>
          <w:sz w:val="28"/>
          <w:szCs w:val="28"/>
        </w:rPr>
        <w:t>т</w:t>
      </w:r>
      <w:r w:rsidRPr="009321F6">
        <w:rPr>
          <w:sz w:val="28"/>
          <w:szCs w:val="28"/>
        </w:rPr>
        <w:t xml:space="preserve">ствующего письменного ответа. </w:t>
      </w:r>
      <w:proofErr w:type="gramEnd"/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>(Приказ Минздрава России от 1</w:t>
      </w:r>
      <w:r w:rsidR="00405589">
        <w:rPr>
          <w:sz w:val="28"/>
          <w:szCs w:val="28"/>
        </w:rPr>
        <w:t>1</w:t>
      </w:r>
      <w:r w:rsidRPr="00B63093">
        <w:rPr>
          <w:sz w:val="28"/>
          <w:szCs w:val="28"/>
        </w:rPr>
        <w:t>.</w:t>
      </w:r>
      <w:r w:rsidR="00405589">
        <w:rPr>
          <w:sz w:val="28"/>
          <w:szCs w:val="28"/>
        </w:rPr>
        <w:t>12</w:t>
      </w:r>
      <w:r w:rsidRPr="00B63093">
        <w:rPr>
          <w:sz w:val="28"/>
          <w:szCs w:val="28"/>
        </w:rPr>
        <w:t>.201</w:t>
      </w:r>
      <w:r w:rsidR="00405589">
        <w:rPr>
          <w:sz w:val="28"/>
          <w:szCs w:val="28"/>
        </w:rPr>
        <w:t>3</w:t>
      </w:r>
      <w:r w:rsidRPr="00B63093">
        <w:rPr>
          <w:sz w:val="28"/>
          <w:szCs w:val="28"/>
        </w:rPr>
        <w:t xml:space="preserve"> № </w:t>
      </w:r>
      <w:r w:rsidR="00405589">
        <w:rPr>
          <w:sz w:val="28"/>
          <w:szCs w:val="28"/>
        </w:rPr>
        <w:t>933</w:t>
      </w:r>
      <w:r w:rsidRPr="00B63093">
        <w:rPr>
          <w:sz w:val="28"/>
          <w:szCs w:val="28"/>
        </w:rPr>
        <w:t xml:space="preserve">) за </w:t>
      </w:r>
      <w:r w:rsidR="00861BF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B63093">
        <w:rPr>
          <w:sz w:val="28"/>
          <w:szCs w:val="28"/>
        </w:rPr>
        <w:t xml:space="preserve"> 201</w:t>
      </w:r>
      <w:r w:rsidR="0040558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 проведен                        прием </w:t>
      </w:r>
      <w:r w:rsidR="00405589">
        <w:rPr>
          <w:sz w:val="28"/>
          <w:szCs w:val="28"/>
        </w:rPr>
        <w:t>2</w:t>
      </w:r>
      <w:r w:rsidR="00861BF6">
        <w:rPr>
          <w:sz w:val="28"/>
          <w:szCs w:val="28"/>
        </w:rPr>
        <w:t>7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F55BAF" w:rsidRPr="0076517F" w:rsidRDefault="00851E9E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С</w:t>
      </w:r>
      <w:r w:rsidR="00DB3C59" w:rsidRPr="0076517F">
        <w:rPr>
          <w:b/>
        </w:rPr>
        <w:t>труктура</w:t>
      </w:r>
      <w:r w:rsidR="000C74CA" w:rsidRPr="000C74CA">
        <w:t xml:space="preserve"> </w:t>
      </w:r>
      <w:r w:rsidR="000C74CA" w:rsidRPr="000C74CA">
        <w:rPr>
          <w:b/>
        </w:rPr>
        <w:t>письменных</w:t>
      </w:r>
      <w:r w:rsidR="00DB3C59" w:rsidRPr="0076517F">
        <w:rPr>
          <w:b/>
        </w:rPr>
        <w:t xml:space="preserve"> </w:t>
      </w:r>
      <w:r w:rsidR="00FA24D3" w:rsidRPr="0076517F">
        <w:rPr>
          <w:b/>
        </w:rPr>
        <w:t>обращений</w:t>
      </w:r>
      <w:r w:rsidR="00DB3C59" w:rsidRPr="0076517F">
        <w:rPr>
          <w:b/>
        </w:rPr>
        <w:t xml:space="preserve"> граждан в разрезе </w:t>
      </w:r>
      <w:r w:rsidR="00FA24D3" w:rsidRPr="0076517F">
        <w:rPr>
          <w:b/>
        </w:rPr>
        <w:t xml:space="preserve">поднимаемых </w:t>
      </w:r>
    </w:p>
    <w:p w:rsidR="000C74CA" w:rsidRDefault="00FA24D3" w:rsidP="000C74CA">
      <w:pPr>
        <w:pStyle w:val="20"/>
        <w:spacing w:line="240" w:lineRule="auto"/>
        <w:jc w:val="center"/>
        <w:rPr>
          <w:b/>
        </w:rPr>
      </w:pPr>
      <w:r w:rsidRPr="0076517F">
        <w:rPr>
          <w:b/>
        </w:rPr>
        <w:t xml:space="preserve">заявителями </w:t>
      </w:r>
      <w:r w:rsidR="00DB3C59" w:rsidRPr="0076517F">
        <w:rPr>
          <w:b/>
        </w:rPr>
        <w:t>вопросов</w:t>
      </w:r>
      <w:r w:rsidR="00DB3C59">
        <w:rPr>
          <w:b/>
        </w:rPr>
        <w:t xml:space="preserve"> </w:t>
      </w:r>
    </w:p>
    <w:p w:rsidR="000C74C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BC567F" w:rsidRDefault="000C74CA" w:rsidP="00703F16">
      <w:pPr>
        <w:pStyle w:val="20"/>
        <w:ind w:firstLine="709"/>
        <w:jc w:val="center"/>
      </w:pPr>
      <w:r w:rsidRPr="00BC567F">
        <w:t xml:space="preserve">Тематика и количество зарегистрированных в Министерстве обращений граждан за </w:t>
      </w:r>
      <w:r w:rsidR="006C47CD">
        <w:t>2 квартал</w:t>
      </w:r>
      <w:r w:rsidRPr="00BC567F">
        <w:t xml:space="preserve"> 201</w:t>
      </w:r>
      <w:r w:rsidR="00B2054B">
        <w:t>4</w:t>
      </w:r>
      <w:r w:rsidRPr="00BC567F">
        <w:t xml:space="preserve"> г.  характеризовались следующими данными: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1. Качество медицинской помощи – </w:t>
      </w:r>
      <w:r w:rsidR="0073720A">
        <w:t>9902</w:t>
      </w:r>
      <w:r w:rsidRPr="00BC567F">
        <w:t xml:space="preserve"> обращени</w:t>
      </w:r>
      <w:r w:rsidR="00A9214A">
        <w:t>я</w:t>
      </w:r>
      <w:r w:rsidRPr="00BC567F">
        <w:t xml:space="preserve"> или </w:t>
      </w:r>
      <w:r w:rsidR="00053923">
        <w:t>4</w:t>
      </w:r>
      <w:r w:rsidR="0073720A">
        <w:t>5</w:t>
      </w:r>
      <w:r w:rsidRPr="00BC567F">
        <w:t>,</w:t>
      </w:r>
      <w:r w:rsidR="0073720A">
        <w:t>6</w:t>
      </w:r>
      <w:r w:rsidRPr="00BC567F">
        <w:t xml:space="preserve"> %                                      от общего количества писем граждан.  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2. Работа учреждений здравоохранения – </w:t>
      </w:r>
      <w:r w:rsidR="0073720A">
        <w:t>4052</w:t>
      </w:r>
      <w:r w:rsidRPr="00BC567F">
        <w:t xml:space="preserve"> обращений</w:t>
      </w:r>
      <w:r w:rsidR="0042061D">
        <w:t xml:space="preserve">  </w:t>
      </w:r>
      <w:r w:rsidRPr="00BC567F">
        <w:t xml:space="preserve"> или     </w:t>
      </w:r>
      <w:r w:rsidR="0073720A">
        <w:t>18</w:t>
      </w:r>
      <w:r w:rsidRPr="00BC567F">
        <w:t>,</w:t>
      </w:r>
      <w:r w:rsidR="0073720A">
        <w:t>7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3. Лекарственное обеспечение  - </w:t>
      </w:r>
      <w:r w:rsidR="0073720A">
        <w:t>2390</w:t>
      </w:r>
      <w:r w:rsidRPr="00BC567F">
        <w:t xml:space="preserve"> обращени</w:t>
      </w:r>
      <w:r w:rsidR="00A9214A">
        <w:t>е</w:t>
      </w:r>
      <w:r w:rsidRPr="00BC567F">
        <w:t xml:space="preserve"> или </w:t>
      </w:r>
      <w:r w:rsidRPr="00E733CB">
        <w:t>1</w:t>
      </w:r>
      <w:r w:rsidR="0073720A">
        <w:t>1</w:t>
      </w:r>
      <w:r w:rsidRPr="00E733CB">
        <w:t>,</w:t>
      </w:r>
      <w:r w:rsidR="0073720A">
        <w:t>0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>
        <w:t>а</w:t>
      </w:r>
      <w:r w:rsidRPr="00BC567F">
        <w:t xml:space="preserve"> медицинских  </w:t>
      </w:r>
      <w:r w:rsidR="00BC567F">
        <w:t xml:space="preserve">                </w:t>
      </w:r>
      <w:r w:rsidRPr="00BC567F">
        <w:t xml:space="preserve">и фармацевтических работников и т.д. – </w:t>
      </w:r>
      <w:r w:rsidR="0073720A">
        <w:t>2021</w:t>
      </w:r>
      <w:r w:rsidR="00BC567F" w:rsidRPr="00BC567F">
        <w:t xml:space="preserve"> </w:t>
      </w:r>
      <w:r w:rsidRPr="00BC567F">
        <w:t xml:space="preserve"> обращени</w:t>
      </w:r>
      <w:r w:rsidR="00A9214A">
        <w:t>й</w:t>
      </w:r>
      <w:r w:rsidRPr="00BC567F">
        <w:t xml:space="preserve"> или </w:t>
      </w:r>
      <w:r w:rsidR="0042061D">
        <w:t>9</w:t>
      </w:r>
      <w:r w:rsidRPr="00BC567F">
        <w:t>,</w:t>
      </w:r>
      <w:r w:rsidR="0073720A">
        <w:t>3</w:t>
      </w:r>
      <w:r w:rsidRPr="00BC567F">
        <w:t xml:space="preserve"> % от общего 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73720A">
        <w:t>3357</w:t>
      </w:r>
      <w:r w:rsidRPr="00BC567F">
        <w:t xml:space="preserve"> обращени</w:t>
      </w:r>
      <w:r w:rsidR="00A9214A">
        <w:t>й</w:t>
      </w:r>
      <w:r w:rsidRPr="00BC567F">
        <w:t xml:space="preserve"> или  </w:t>
      </w:r>
      <w:r w:rsidR="0042061D">
        <w:t>15</w:t>
      </w:r>
      <w:r w:rsidRPr="00BC567F">
        <w:t xml:space="preserve">, </w:t>
      </w:r>
      <w:r w:rsidR="0073720A">
        <w:t>4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 wp14:anchorId="25223BBB" wp14:editId="2D5A3872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proofErr w:type="gramStart"/>
      <w:r w:rsidRPr="00AB258E">
        <w:rPr>
          <w:b/>
        </w:rPr>
        <w:t>в</w:t>
      </w:r>
      <w:proofErr w:type="gramEnd"/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9321F6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95" w:rsidRPr="009321F6">
        <w:rPr>
          <w:sz w:val="28"/>
          <w:szCs w:val="28"/>
        </w:rPr>
        <w:t>. Москва</w:t>
      </w:r>
      <w:r w:rsidR="0073720A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- </w:t>
      </w:r>
      <w:r w:rsidR="00486869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486869">
        <w:rPr>
          <w:sz w:val="28"/>
          <w:szCs w:val="28"/>
        </w:rPr>
        <w:t>86</w:t>
      </w:r>
      <w:r w:rsidR="00922B95" w:rsidRPr="009321F6">
        <w:rPr>
          <w:sz w:val="28"/>
          <w:szCs w:val="28"/>
        </w:rPr>
        <w:t>;</w:t>
      </w:r>
    </w:p>
    <w:p w:rsidR="00922B95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B95" w:rsidRPr="009321F6">
        <w:rPr>
          <w:sz w:val="28"/>
          <w:szCs w:val="28"/>
        </w:rPr>
        <w:t>. Московская область</w:t>
      </w:r>
      <w:r w:rsidR="0073720A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-</w:t>
      </w:r>
      <w:r w:rsidR="007372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86869">
        <w:rPr>
          <w:sz w:val="28"/>
          <w:szCs w:val="28"/>
        </w:rPr>
        <w:t>8</w:t>
      </w:r>
      <w:r w:rsidR="009321F6" w:rsidRPr="009321F6">
        <w:rPr>
          <w:sz w:val="28"/>
          <w:szCs w:val="28"/>
        </w:rPr>
        <w:t>,</w:t>
      </w:r>
      <w:r w:rsidR="00486869">
        <w:rPr>
          <w:sz w:val="28"/>
          <w:szCs w:val="28"/>
        </w:rPr>
        <w:t>47</w:t>
      </w:r>
      <w:r w:rsidR="00922B95" w:rsidRPr="009321F6">
        <w:rPr>
          <w:sz w:val="28"/>
          <w:szCs w:val="28"/>
        </w:rPr>
        <w:t>;</w:t>
      </w:r>
    </w:p>
    <w:p w:rsidR="00486869" w:rsidRPr="009321F6" w:rsidRDefault="00486869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Чукотский</w:t>
      </w:r>
      <w:proofErr w:type="gramEnd"/>
      <w:r>
        <w:rPr>
          <w:sz w:val="28"/>
          <w:szCs w:val="28"/>
        </w:rPr>
        <w:t xml:space="preserve"> АО</w:t>
      </w:r>
      <w:r w:rsidR="0073720A">
        <w:rPr>
          <w:sz w:val="28"/>
          <w:szCs w:val="28"/>
        </w:rPr>
        <w:t xml:space="preserve"> </w:t>
      </w:r>
      <w:r>
        <w:rPr>
          <w:sz w:val="28"/>
          <w:szCs w:val="28"/>
        </w:rPr>
        <w:t>- 24,23;</w:t>
      </w:r>
    </w:p>
    <w:p w:rsidR="00922B95" w:rsidRDefault="00486869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B95" w:rsidRPr="009321F6">
        <w:rPr>
          <w:sz w:val="28"/>
          <w:szCs w:val="28"/>
        </w:rPr>
        <w:t xml:space="preserve">. </w:t>
      </w:r>
      <w:r w:rsidR="00B2054B">
        <w:rPr>
          <w:sz w:val="28"/>
          <w:szCs w:val="28"/>
        </w:rPr>
        <w:t>Мурманская</w:t>
      </w:r>
      <w:r w:rsidR="00F13B48" w:rsidRPr="00F13B48">
        <w:rPr>
          <w:sz w:val="28"/>
          <w:szCs w:val="28"/>
        </w:rPr>
        <w:t xml:space="preserve"> область</w:t>
      </w:r>
      <w:r w:rsidR="0073720A">
        <w:rPr>
          <w:sz w:val="28"/>
          <w:szCs w:val="28"/>
        </w:rPr>
        <w:t xml:space="preserve"> </w:t>
      </w:r>
      <w:r w:rsidR="00F13B48" w:rsidRPr="00F13B48">
        <w:rPr>
          <w:sz w:val="28"/>
          <w:szCs w:val="28"/>
        </w:rPr>
        <w:t>-</w:t>
      </w:r>
      <w:r w:rsidR="0073720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13B48" w:rsidRPr="00F13B48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="00B2054B">
        <w:rPr>
          <w:sz w:val="28"/>
          <w:szCs w:val="28"/>
        </w:rPr>
        <w:t>;</w:t>
      </w:r>
    </w:p>
    <w:p w:rsidR="00F13B48" w:rsidRDefault="00486869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3B48">
        <w:rPr>
          <w:sz w:val="28"/>
          <w:szCs w:val="28"/>
        </w:rPr>
        <w:t xml:space="preserve">. </w:t>
      </w:r>
      <w:r>
        <w:rPr>
          <w:sz w:val="28"/>
          <w:szCs w:val="28"/>
        </w:rPr>
        <w:t>Санкт</w:t>
      </w:r>
      <w:r w:rsidR="0073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Петербург </w:t>
      </w:r>
      <w:r w:rsidR="00F13B48">
        <w:rPr>
          <w:sz w:val="28"/>
          <w:szCs w:val="28"/>
        </w:rPr>
        <w:t>-</w:t>
      </w:r>
      <w:r w:rsidR="00B205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13B48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="00B2054B">
        <w:rPr>
          <w:sz w:val="28"/>
          <w:szCs w:val="28"/>
        </w:rPr>
        <w:t>;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47CD" w:rsidRDefault="006C47CD" w:rsidP="004D6040">
      <w:pPr>
        <w:pStyle w:val="20"/>
        <w:spacing w:line="240" w:lineRule="auto"/>
        <w:jc w:val="center"/>
        <w:rPr>
          <w:b/>
        </w:rPr>
      </w:pPr>
    </w:p>
    <w:p w:rsidR="006C47CD" w:rsidRDefault="006C47CD" w:rsidP="004D6040">
      <w:pPr>
        <w:pStyle w:val="20"/>
        <w:spacing w:line="240" w:lineRule="auto"/>
        <w:jc w:val="center"/>
        <w:rPr>
          <w:b/>
        </w:rPr>
      </w:pPr>
    </w:p>
    <w:p w:rsidR="006C47CD" w:rsidRDefault="006C47CD" w:rsidP="004D6040">
      <w:pPr>
        <w:pStyle w:val="20"/>
        <w:spacing w:line="240" w:lineRule="auto"/>
        <w:jc w:val="center"/>
        <w:rPr>
          <w:b/>
        </w:rPr>
      </w:pPr>
    </w:p>
    <w:p w:rsidR="006C47CD" w:rsidRDefault="006C47CD" w:rsidP="004D6040">
      <w:pPr>
        <w:pStyle w:val="20"/>
        <w:spacing w:line="240" w:lineRule="auto"/>
        <w:jc w:val="center"/>
        <w:rPr>
          <w:b/>
        </w:rPr>
      </w:pPr>
    </w:p>
    <w:p w:rsidR="006C47CD" w:rsidRDefault="004D6040" w:rsidP="004D6040">
      <w:pPr>
        <w:pStyle w:val="20"/>
        <w:spacing w:line="240" w:lineRule="auto"/>
        <w:jc w:val="center"/>
        <w:rPr>
          <w:b/>
        </w:rPr>
      </w:pPr>
      <w:r w:rsidRPr="004D6040">
        <w:rPr>
          <w:b/>
        </w:rPr>
        <w:t xml:space="preserve">Поступление обращений граждан  на рассмотрение </w:t>
      </w:r>
    </w:p>
    <w:p w:rsidR="006C47CD" w:rsidRDefault="004D6040" w:rsidP="004D6040">
      <w:pPr>
        <w:pStyle w:val="20"/>
        <w:spacing w:line="240" w:lineRule="auto"/>
        <w:jc w:val="center"/>
        <w:rPr>
          <w:b/>
        </w:rPr>
      </w:pPr>
      <w:r w:rsidRPr="004D6040">
        <w:rPr>
          <w:b/>
        </w:rPr>
        <w:t xml:space="preserve"> в структурные подразделения </w:t>
      </w:r>
    </w:p>
    <w:p w:rsidR="004D6040" w:rsidRPr="004D6040" w:rsidRDefault="004D6040" w:rsidP="004D6040">
      <w:pPr>
        <w:pStyle w:val="20"/>
        <w:spacing w:line="240" w:lineRule="auto"/>
        <w:jc w:val="center"/>
        <w:rPr>
          <w:b/>
        </w:rPr>
      </w:pPr>
      <w:r w:rsidRPr="004D6040">
        <w:rPr>
          <w:b/>
        </w:rPr>
        <w:t xml:space="preserve">Министерство здравоохранения Российской Федерации    </w:t>
      </w:r>
    </w:p>
    <w:p w:rsidR="004D6040" w:rsidRDefault="004D6040" w:rsidP="004D6040">
      <w:pPr>
        <w:pStyle w:val="20"/>
        <w:jc w:val="center"/>
      </w:pPr>
    </w:p>
    <w:p w:rsidR="004D6040" w:rsidRDefault="004D6040" w:rsidP="004D6040">
      <w:pPr>
        <w:pStyle w:val="20"/>
      </w:pPr>
      <w:r>
        <w:t xml:space="preserve">Рассмотрение обращений граждан  в Минздраве России осуществляется всеми структурными подразделениями Министерства, что позволяет                          осуществлять направление ответов заявителям на все поставленные                                  в  обращениях  вопросы. </w:t>
      </w:r>
    </w:p>
    <w:p w:rsidR="004D6040" w:rsidRDefault="004D6040" w:rsidP="004D6040">
      <w:pPr>
        <w:pStyle w:val="20"/>
        <w:ind w:firstLine="709"/>
      </w:pPr>
      <w:r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>
        <w:t xml:space="preserve">                                 </w:t>
      </w:r>
      <w:r>
        <w:t xml:space="preserve"> в</w:t>
      </w:r>
      <w:r w:rsidR="00140E57">
        <w:t xml:space="preserve">о 2 квартале </w:t>
      </w:r>
      <w:r>
        <w:t xml:space="preserve"> 201</w:t>
      </w:r>
      <w:r w:rsidR="0044468A" w:rsidRPr="0044468A">
        <w:t>4</w:t>
      </w:r>
      <w:bookmarkStart w:id="0" w:name="_GoBack"/>
      <w:bookmarkEnd w:id="0"/>
      <w:r>
        <w:t xml:space="preserve"> году выглядит следующим образом: </w:t>
      </w:r>
    </w:p>
    <w:p w:rsidR="004D6040" w:rsidRDefault="000026C7" w:rsidP="004D6040">
      <w:pPr>
        <w:pStyle w:val="20"/>
        <w:ind w:firstLine="709"/>
      </w:pPr>
      <w:r>
        <w:t xml:space="preserve"> -</w:t>
      </w:r>
      <w:r w:rsidRPr="000026C7">
        <w:t xml:space="preserve"> </w:t>
      </w:r>
      <w:r>
        <w:t xml:space="preserve">в </w:t>
      </w:r>
      <w:r w:rsidR="004D6040">
        <w:t>Департамент организации медицинской помощи и санаторно-курортного дела</w:t>
      </w:r>
      <w:r>
        <w:t xml:space="preserve"> поступило </w:t>
      </w:r>
      <w:r w:rsidR="00140E57">
        <w:t xml:space="preserve">10460 </w:t>
      </w:r>
      <w:r>
        <w:t xml:space="preserve">обращений граждан </w:t>
      </w:r>
      <w:r w:rsidR="004D6040">
        <w:t>(</w:t>
      </w:r>
      <w:r w:rsidRPr="000026C7">
        <w:t>4</w:t>
      </w:r>
      <w:r w:rsidR="004D6040">
        <w:t>7,</w:t>
      </w:r>
      <w:r w:rsidRPr="000026C7">
        <w:t>7</w:t>
      </w:r>
      <w:r>
        <w:t xml:space="preserve"> % </w:t>
      </w:r>
      <w:r w:rsidRPr="000026C7">
        <w:t xml:space="preserve"> </w:t>
      </w:r>
      <w:r>
        <w:t>от общего             количества обращений граждан);</w:t>
      </w:r>
    </w:p>
    <w:p w:rsidR="004D6040" w:rsidRDefault="000026C7" w:rsidP="000026C7">
      <w:pPr>
        <w:pStyle w:val="20"/>
        <w:ind w:firstLine="709"/>
      </w:pPr>
      <w:r>
        <w:t xml:space="preserve">  -  в </w:t>
      </w:r>
      <w:r w:rsidR="004D6040">
        <w:t xml:space="preserve">Департамент медицинской помощи детям и службы </w:t>
      </w:r>
      <w:r>
        <w:t xml:space="preserve">                             </w:t>
      </w:r>
      <w:r w:rsidR="004D6040">
        <w:t xml:space="preserve">родовспоможения – </w:t>
      </w:r>
      <w:r w:rsidR="00140E57">
        <w:t>4293</w:t>
      </w:r>
      <w:r w:rsidR="004D6040">
        <w:t>(1</w:t>
      </w:r>
      <w:r w:rsidRPr="000026C7">
        <w:t>9</w:t>
      </w:r>
      <w:r w:rsidR="004D6040">
        <w:t>,</w:t>
      </w:r>
      <w:r w:rsidRPr="000026C7">
        <w:t>6</w:t>
      </w:r>
      <w:r w:rsidR="004D6040">
        <w:t xml:space="preserve"> %);</w:t>
      </w:r>
    </w:p>
    <w:p w:rsidR="004D6040" w:rsidRDefault="000026C7" w:rsidP="004D6040">
      <w:pPr>
        <w:pStyle w:val="20"/>
        <w:ind w:firstLine="709"/>
      </w:pPr>
      <w:r>
        <w:t xml:space="preserve">  -  в  </w:t>
      </w:r>
      <w:r w:rsidR="004D6040">
        <w:t xml:space="preserve">Департамент лекарственного обеспечения и регулирования </w:t>
      </w:r>
      <w:r>
        <w:t xml:space="preserve">                    </w:t>
      </w:r>
      <w:r w:rsidR="004D6040">
        <w:t xml:space="preserve">обращения медицинских изделий –  </w:t>
      </w:r>
      <w:r w:rsidR="00140E57">
        <w:t>2263</w:t>
      </w:r>
      <w:r w:rsidR="004D6040">
        <w:t>(</w:t>
      </w:r>
      <w:r w:rsidRPr="000026C7">
        <w:t>10</w:t>
      </w:r>
      <w:r w:rsidR="004D6040">
        <w:t>,</w:t>
      </w:r>
      <w:r w:rsidRPr="000026C7">
        <w:t>3</w:t>
      </w:r>
      <w:r w:rsidR="004D6040">
        <w:t xml:space="preserve"> %);</w:t>
      </w:r>
    </w:p>
    <w:p w:rsidR="004D6040" w:rsidRDefault="000026C7" w:rsidP="004D6040">
      <w:pPr>
        <w:pStyle w:val="20"/>
        <w:ind w:firstLine="709"/>
      </w:pPr>
      <w:r>
        <w:t xml:space="preserve">  </w:t>
      </w:r>
      <w:r w:rsidR="004D6040">
        <w:t xml:space="preserve">-  </w:t>
      </w:r>
      <w:r>
        <w:t xml:space="preserve"> в  </w:t>
      </w:r>
      <w:r w:rsidR="004D6040">
        <w:t>Департамент</w:t>
      </w:r>
      <w:r w:rsidR="00140E57">
        <w:t xml:space="preserve"> медицинского </w:t>
      </w:r>
      <w:r w:rsidR="004D6040">
        <w:t xml:space="preserve"> образования и кадров</w:t>
      </w:r>
      <w:r w:rsidR="001D0B15">
        <w:t>ой политики</w:t>
      </w:r>
      <w:r w:rsidR="004D6040">
        <w:t xml:space="preserve"> - </w:t>
      </w:r>
      <w:r w:rsidR="001D0B15">
        <w:t>1858</w:t>
      </w:r>
      <w:r w:rsidR="004D6040">
        <w:t xml:space="preserve"> (</w:t>
      </w:r>
      <w:r w:rsidRPr="000026C7">
        <w:t>8</w:t>
      </w:r>
      <w:r w:rsidR="004D6040">
        <w:t>,</w:t>
      </w:r>
      <w:r w:rsidRPr="000026C7">
        <w:t>5</w:t>
      </w:r>
      <w:r w:rsidR="004D6040">
        <w:t xml:space="preserve"> %);</w:t>
      </w:r>
    </w:p>
    <w:p w:rsidR="00A77E11" w:rsidRDefault="000026C7" w:rsidP="00A77E11">
      <w:pPr>
        <w:pStyle w:val="20"/>
        <w:ind w:firstLine="709"/>
      </w:pPr>
      <w:r>
        <w:t xml:space="preserve"> </w:t>
      </w:r>
      <w:r w:rsidR="004D6040">
        <w:t xml:space="preserve"> - </w:t>
      </w:r>
      <w:r>
        <w:t xml:space="preserve">в </w:t>
      </w:r>
      <w:r w:rsidR="004D6040">
        <w:t xml:space="preserve">Департамент охраны здоровья и </w:t>
      </w:r>
      <w:proofErr w:type="spellStart"/>
      <w:r w:rsidR="004D6040">
        <w:t>санитарно</w:t>
      </w:r>
      <w:proofErr w:type="spellEnd"/>
      <w:r w:rsidR="004D6040">
        <w:t xml:space="preserve"> - эпидемического </w:t>
      </w:r>
      <w:r w:rsidRPr="000026C7">
        <w:t xml:space="preserve">                      </w:t>
      </w:r>
      <w:r w:rsidR="004D6040">
        <w:t xml:space="preserve">благополучия человека – </w:t>
      </w:r>
      <w:r w:rsidR="001D0B15">
        <w:t>916</w:t>
      </w:r>
      <w:r w:rsidR="004D6040">
        <w:t xml:space="preserve"> (</w:t>
      </w:r>
      <w:r w:rsidRPr="000026C7">
        <w:t>4</w:t>
      </w:r>
      <w:r w:rsidR="004D6040">
        <w:t>,</w:t>
      </w:r>
      <w:r w:rsidRPr="000026C7">
        <w:t xml:space="preserve">2 </w:t>
      </w:r>
      <w:r w:rsidR="004D6040">
        <w:t>%);</w:t>
      </w:r>
      <w:r w:rsidR="00A77E11">
        <w:t xml:space="preserve">    </w:t>
      </w:r>
    </w:p>
    <w:p w:rsidR="004D6040" w:rsidRDefault="00A77E11" w:rsidP="004D6040">
      <w:pPr>
        <w:pStyle w:val="20"/>
        <w:ind w:firstLine="709"/>
      </w:pPr>
      <w:r>
        <w:t xml:space="preserve">      - в Департамент  организации экстренной медицинской помощи </w:t>
      </w:r>
      <w:r w:rsidR="000026C7">
        <w:t xml:space="preserve">                     </w:t>
      </w:r>
      <w:r>
        <w:t>и экспертной деятельности  поступило 856 (</w:t>
      </w:r>
      <w:r w:rsidR="000026C7" w:rsidRPr="000026C7">
        <w:t>3</w:t>
      </w:r>
      <w:r w:rsidRPr="000026C7">
        <w:t>,</w:t>
      </w:r>
      <w:r w:rsidR="000026C7" w:rsidRPr="000026C7">
        <w:t xml:space="preserve">9 </w:t>
      </w:r>
      <w:r>
        <w:t>%);</w:t>
      </w:r>
    </w:p>
    <w:p w:rsidR="00E51305" w:rsidRDefault="004D6040" w:rsidP="004D6040">
      <w:pPr>
        <w:pStyle w:val="20"/>
        <w:ind w:firstLine="709"/>
      </w:pPr>
      <w:r>
        <w:t xml:space="preserve">          - в другие структурные  подразделения – 1</w:t>
      </w:r>
      <w:r w:rsidR="00863019">
        <w:t>297</w:t>
      </w:r>
      <w:r>
        <w:t xml:space="preserve"> (</w:t>
      </w:r>
      <w:r w:rsidR="00863019">
        <w:t>5</w:t>
      </w:r>
      <w:r>
        <w:t>,</w:t>
      </w:r>
      <w:r w:rsidR="00863019">
        <w:t>9</w:t>
      </w:r>
      <w:r>
        <w:t xml:space="preserve"> %); поступление менее  4</w:t>
      </w:r>
      <w:r w:rsidR="001D0B15">
        <w:t>0</w:t>
      </w:r>
      <w:r>
        <w:t>0 обращений граждан на рассмотрение за отчетный период.</w:t>
      </w:r>
    </w:p>
    <w:p w:rsidR="00E51305" w:rsidRDefault="00E51305" w:rsidP="0042106B">
      <w:pPr>
        <w:pStyle w:val="20"/>
        <w:spacing w:line="240" w:lineRule="auto"/>
        <w:jc w:val="center"/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Принятые решения по итогам рассмотрения обращений </w:t>
      </w:r>
      <w:r w:rsidRPr="0076517F">
        <w:rPr>
          <w:b/>
        </w:rPr>
        <w:t xml:space="preserve"> граждан </w:t>
      </w:r>
    </w:p>
    <w:p w:rsidR="0042106B" w:rsidRDefault="0042106B" w:rsidP="0042106B">
      <w:pPr>
        <w:pStyle w:val="20"/>
        <w:spacing w:line="240" w:lineRule="auto"/>
        <w:rPr>
          <w:b/>
        </w:rPr>
      </w:pPr>
    </w:p>
    <w:p w:rsidR="0042106B" w:rsidRDefault="00863019" w:rsidP="00863019">
      <w:pPr>
        <w:pStyle w:val="20"/>
        <w:ind w:firstLine="709"/>
        <w:rPr>
          <w:szCs w:val="28"/>
        </w:rPr>
      </w:pPr>
      <w:r>
        <w:rPr>
          <w:szCs w:val="28"/>
        </w:rPr>
        <w:t>Во</w:t>
      </w:r>
      <w:r w:rsidR="00E51305">
        <w:rPr>
          <w:szCs w:val="28"/>
        </w:rPr>
        <w:t xml:space="preserve"> </w:t>
      </w:r>
      <w:r>
        <w:rPr>
          <w:szCs w:val="28"/>
        </w:rPr>
        <w:t>2</w:t>
      </w:r>
      <w:r w:rsidR="00E51305">
        <w:rPr>
          <w:szCs w:val="28"/>
        </w:rPr>
        <w:t xml:space="preserve"> </w:t>
      </w:r>
      <w:r w:rsidR="0042106B">
        <w:rPr>
          <w:szCs w:val="28"/>
        </w:rPr>
        <w:t>квартале</w:t>
      </w:r>
      <w:r w:rsidR="00E51305">
        <w:rPr>
          <w:szCs w:val="28"/>
        </w:rPr>
        <w:t xml:space="preserve"> </w:t>
      </w:r>
      <w:r w:rsidR="0042106B">
        <w:rPr>
          <w:szCs w:val="28"/>
        </w:rPr>
        <w:t>201</w:t>
      </w:r>
      <w:r w:rsidR="00E51305">
        <w:rPr>
          <w:szCs w:val="28"/>
        </w:rPr>
        <w:t xml:space="preserve">4 </w:t>
      </w:r>
      <w:r w:rsidR="0042106B">
        <w:rPr>
          <w:szCs w:val="28"/>
        </w:rPr>
        <w:t>года</w:t>
      </w:r>
      <w:r w:rsidR="00E51305">
        <w:rPr>
          <w:szCs w:val="28"/>
        </w:rPr>
        <w:t xml:space="preserve"> </w:t>
      </w:r>
      <w:r w:rsidR="0042106B">
        <w:rPr>
          <w:szCs w:val="28"/>
        </w:rPr>
        <w:t>по</w:t>
      </w:r>
      <w:r w:rsidR="00E51305">
        <w:rPr>
          <w:szCs w:val="28"/>
        </w:rPr>
        <w:t xml:space="preserve"> </w:t>
      </w:r>
      <w:r w:rsidR="0042106B">
        <w:rPr>
          <w:szCs w:val="28"/>
        </w:rPr>
        <w:t>итогам</w:t>
      </w:r>
      <w:r w:rsidR="00E51305">
        <w:rPr>
          <w:szCs w:val="28"/>
        </w:rPr>
        <w:t xml:space="preserve"> </w:t>
      </w:r>
      <w:r w:rsidR="0042106B">
        <w:rPr>
          <w:szCs w:val="28"/>
        </w:rPr>
        <w:t>рассмотрения</w:t>
      </w:r>
      <w:r w:rsidR="00E51305">
        <w:rPr>
          <w:szCs w:val="28"/>
        </w:rPr>
        <w:t xml:space="preserve"> </w:t>
      </w:r>
      <w:r w:rsidR="0042106B">
        <w:rPr>
          <w:szCs w:val="28"/>
        </w:rPr>
        <w:t xml:space="preserve">поступивших </w:t>
      </w:r>
      <w:r w:rsidR="00E51305">
        <w:rPr>
          <w:szCs w:val="28"/>
        </w:rPr>
        <w:t xml:space="preserve">                            в Министерство </w:t>
      </w:r>
      <w:r w:rsidR="0042106B">
        <w:rPr>
          <w:szCs w:val="28"/>
        </w:rPr>
        <w:t>обращений граждан приняты следующие решения:</w:t>
      </w:r>
    </w:p>
    <w:p w:rsidR="004D3C67" w:rsidRDefault="00365481" w:rsidP="00863019">
      <w:pPr>
        <w:pStyle w:val="20"/>
        <w:ind w:firstLine="709"/>
        <w:rPr>
          <w:szCs w:val="28"/>
        </w:rPr>
      </w:pPr>
      <w:r>
        <w:rPr>
          <w:szCs w:val="28"/>
        </w:rPr>
        <w:t xml:space="preserve">-  </w:t>
      </w:r>
      <w:r w:rsidR="004D3C67">
        <w:rPr>
          <w:szCs w:val="28"/>
        </w:rPr>
        <w:t>«</w:t>
      </w:r>
      <w:r w:rsidR="00E51305">
        <w:rPr>
          <w:szCs w:val="28"/>
        </w:rPr>
        <w:t xml:space="preserve">Поддержано. </w:t>
      </w:r>
      <w:r w:rsidR="004D3C67">
        <w:rPr>
          <w:szCs w:val="28"/>
        </w:rPr>
        <w:t xml:space="preserve">Меры приняты» по </w:t>
      </w:r>
      <w:r>
        <w:rPr>
          <w:szCs w:val="28"/>
        </w:rPr>
        <w:t xml:space="preserve"> </w:t>
      </w:r>
      <w:r w:rsidR="001E3C69">
        <w:rPr>
          <w:szCs w:val="28"/>
        </w:rPr>
        <w:t xml:space="preserve">293 </w:t>
      </w:r>
      <w:r>
        <w:rPr>
          <w:szCs w:val="28"/>
        </w:rPr>
        <w:t>обращения</w:t>
      </w:r>
      <w:r w:rsidR="004D3C67">
        <w:rPr>
          <w:szCs w:val="28"/>
        </w:rPr>
        <w:t>м;</w:t>
      </w:r>
    </w:p>
    <w:p w:rsidR="004D3C67" w:rsidRDefault="0042106B" w:rsidP="00863019">
      <w:pPr>
        <w:pStyle w:val="20"/>
        <w:ind w:firstLine="709"/>
        <w:rPr>
          <w:szCs w:val="28"/>
        </w:rPr>
      </w:pPr>
      <w:r>
        <w:rPr>
          <w:szCs w:val="28"/>
        </w:rPr>
        <w:t xml:space="preserve">- </w:t>
      </w:r>
      <w:r w:rsidR="004D3C67">
        <w:rPr>
          <w:szCs w:val="28"/>
        </w:rPr>
        <w:t xml:space="preserve">«Даны разъяснения» на поставленные </w:t>
      </w:r>
      <w:r w:rsidR="00E51305">
        <w:rPr>
          <w:szCs w:val="28"/>
        </w:rPr>
        <w:t xml:space="preserve">вопросы </w:t>
      </w:r>
      <w:r w:rsidR="004D3C67">
        <w:rPr>
          <w:szCs w:val="28"/>
        </w:rPr>
        <w:t xml:space="preserve">в </w:t>
      </w:r>
      <w:r w:rsidR="0031087B">
        <w:rPr>
          <w:szCs w:val="28"/>
        </w:rPr>
        <w:t>9</w:t>
      </w:r>
      <w:r w:rsidR="001E3C69">
        <w:rPr>
          <w:szCs w:val="28"/>
        </w:rPr>
        <w:t>311</w:t>
      </w:r>
      <w:r w:rsidR="004D3C67">
        <w:rPr>
          <w:szCs w:val="28"/>
        </w:rPr>
        <w:t xml:space="preserve"> обращениях;</w:t>
      </w:r>
    </w:p>
    <w:p w:rsidR="0042106B" w:rsidRDefault="0042106B" w:rsidP="00863019">
      <w:pPr>
        <w:pStyle w:val="20"/>
        <w:ind w:firstLine="709"/>
        <w:rPr>
          <w:szCs w:val="28"/>
        </w:rPr>
      </w:pPr>
      <w:r>
        <w:rPr>
          <w:szCs w:val="28"/>
        </w:rPr>
        <w:t>-</w:t>
      </w:r>
      <w:r w:rsidR="004D3C67">
        <w:rPr>
          <w:szCs w:val="28"/>
        </w:rPr>
        <w:t xml:space="preserve"> «Направлены для рассмотрения по принадлежности»                            </w:t>
      </w:r>
      <w:r>
        <w:rPr>
          <w:szCs w:val="28"/>
        </w:rPr>
        <w:t xml:space="preserve">4045 обращений </w:t>
      </w:r>
      <w:r w:rsidR="003C72D6">
        <w:rPr>
          <w:szCs w:val="28"/>
        </w:rPr>
        <w:t>в другие органы исполнительной власти</w:t>
      </w:r>
      <w:r w:rsidR="004D3C67">
        <w:rPr>
          <w:szCs w:val="28"/>
        </w:rPr>
        <w:t xml:space="preserve">                                                  Российской  Федерации</w:t>
      </w:r>
      <w:r w:rsidR="003C72D6">
        <w:rPr>
          <w:szCs w:val="28"/>
        </w:rPr>
        <w:t>;</w:t>
      </w:r>
    </w:p>
    <w:p w:rsidR="003C72D6" w:rsidRDefault="003C72D6" w:rsidP="00863019">
      <w:pPr>
        <w:pStyle w:val="20"/>
        <w:ind w:firstLine="709"/>
        <w:rPr>
          <w:szCs w:val="28"/>
        </w:rPr>
      </w:pPr>
      <w:r>
        <w:rPr>
          <w:szCs w:val="28"/>
        </w:rPr>
        <w:t xml:space="preserve">- </w:t>
      </w:r>
      <w:r w:rsidR="004D3C67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 w:rsidR="001E3C69">
        <w:rPr>
          <w:szCs w:val="28"/>
        </w:rPr>
        <w:t xml:space="preserve"> 6475 </w:t>
      </w:r>
      <w:r>
        <w:rPr>
          <w:szCs w:val="28"/>
        </w:rPr>
        <w:t xml:space="preserve"> обращений граждан для рассмотрения и направления ответа заявителям,  из них </w:t>
      </w:r>
      <w:r w:rsidR="001E3C69">
        <w:rPr>
          <w:szCs w:val="28"/>
        </w:rPr>
        <w:t>41</w:t>
      </w:r>
      <w:r w:rsidR="00E51305">
        <w:rPr>
          <w:szCs w:val="28"/>
        </w:rPr>
        <w:t>,</w:t>
      </w:r>
      <w:r w:rsidR="001E3C69">
        <w:rPr>
          <w:szCs w:val="28"/>
        </w:rPr>
        <w:t xml:space="preserve">4 </w:t>
      </w:r>
      <w:r w:rsidR="00E51305">
        <w:rPr>
          <w:szCs w:val="28"/>
        </w:rPr>
        <w:t xml:space="preserve">% </w:t>
      </w:r>
      <w:r>
        <w:rPr>
          <w:szCs w:val="28"/>
        </w:rPr>
        <w:t xml:space="preserve">взяты  </w:t>
      </w:r>
      <w:r w:rsidR="001E3C69">
        <w:rPr>
          <w:szCs w:val="28"/>
        </w:rPr>
        <w:t xml:space="preserve">                         </w:t>
      </w:r>
      <w:r>
        <w:rPr>
          <w:szCs w:val="28"/>
        </w:rPr>
        <w:t>на контроль</w:t>
      </w:r>
      <w:r w:rsidR="001E3C69">
        <w:rPr>
          <w:szCs w:val="28"/>
        </w:rPr>
        <w:t xml:space="preserve"> </w:t>
      </w:r>
      <w:r>
        <w:rPr>
          <w:szCs w:val="28"/>
        </w:rPr>
        <w:t>Министерством;</w:t>
      </w:r>
    </w:p>
    <w:p w:rsidR="003C72D6" w:rsidRDefault="003C72D6" w:rsidP="00863019">
      <w:pPr>
        <w:pStyle w:val="20"/>
        <w:ind w:firstLine="709"/>
        <w:rPr>
          <w:szCs w:val="28"/>
        </w:rPr>
      </w:pPr>
      <w:r>
        <w:rPr>
          <w:szCs w:val="28"/>
        </w:rPr>
        <w:t>-</w:t>
      </w:r>
      <w:r w:rsidR="004D3C67">
        <w:rPr>
          <w:szCs w:val="28"/>
        </w:rPr>
        <w:t xml:space="preserve">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>
        <w:rPr>
          <w:szCs w:val="28"/>
        </w:rPr>
        <w:t>49</w:t>
      </w:r>
      <w:r w:rsidR="001E3C69">
        <w:rPr>
          <w:szCs w:val="28"/>
        </w:rPr>
        <w:t>8</w:t>
      </w:r>
      <w:r w:rsidR="004D3C67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</w:p>
    <w:p w:rsidR="00E51305" w:rsidRPr="0042106B" w:rsidRDefault="00E51305" w:rsidP="00863019">
      <w:pPr>
        <w:pStyle w:val="20"/>
        <w:ind w:firstLine="709"/>
        <w:rPr>
          <w:szCs w:val="28"/>
        </w:rPr>
      </w:pPr>
      <w:r>
        <w:rPr>
          <w:szCs w:val="28"/>
        </w:rPr>
        <w:t>-</w:t>
      </w:r>
      <w:r w:rsidR="00D95B00">
        <w:rPr>
          <w:szCs w:val="28"/>
        </w:rPr>
        <w:t> </w:t>
      </w:r>
      <w:r>
        <w:rPr>
          <w:szCs w:val="28"/>
        </w:rPr>
        <w:t xml:space="preserve">«Находятся на рассмотрении» (на конец отчетного периода)                                     </w:t>
      </w:r>
      <w:r w:rsidR="0031087B">
        <w:rPr>
          <w:szCs w:val="28"/>
        </w:rPr>
        <w:t xml:space="preserve">1142 </w:t>
      </w:r>
      <w:r>
        <w:rPr>
          <w:szCs w:val="28"/>
        </w:rPr>
        <w:t>обращени</w:t>
      </w:r>
      <w:r w:rsidR="0031087B">
        <w:rPr>
          <w:szCs w:val="28"/>
        </w:rPr>
        <w:t>я</w:t>
      </w:r>
      <w:r>
        <w:rPr>
          <w:szCs w:val="28"/>
        </w:rPr>
        <w:t>.</w:t>
      </w:r>
    </w:p>
    <w:p w:rsidR="00703F16" w:rsidRDefault="00517AD7" w:rsidP="00863019">
      <w:pPr>
        <w:spacing w:line="360" w:lineRule="auto"/>
        <w:ind w:firstLine="709"/>
        <w:jc w:val="both"/>
        <w:rPr>
          <w:szCs w:val="20"/>
        </w:rPr>
      </w:pPr>
      <w:r w:rsidRPr="00815083">
        <w:rPr>
          <w:szCs w:val="20"/>
        </w:rPr>
        <w:t xml:space="preserve">        </w:t>
      </w:r>
    </w:p>
    <w:p w:rsidR="00703F16" w:rsidRPr="0042106B" w:rsidRDefault="00703F16" w:rsidP="00863019">
      <w:pPr>
        <w:spacing w:line="360" w:lineRule="auto"/>
        <w:ind w:firstLine="709"/>
        <w:jc w:val="both"/>
        <w:rPr>
          <w:szCs w:val="20"/>
        </w:rPr>
      </w:pPr>
    </w:p>
    <w:sectPr w:rsidR="00703F16" w:rsidRPr="0042106B" w:rsidSect="00B63093">
      <w:headerReference w:type="even" r:id="rId13"/>
      <w:headerReference w:type="default" r:id="rId14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D" w:rsidRDefault="00D2533D">
      <w:r>
        <w:separator/>
      </w:r>
    </w:p>
  </w:endnote>
  <w:endnote w:type="continuationSeparator" w:id="0">
    <w:p w:rsidR="00D2533D" w:rsidRDefault="00D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D" w:rsidRDefault="00D2533D">
      <w:r>
        <w:separator/>
      </w:r>
    </w:p>
  </w:footnote>
  <w:footnote w:type="continuationSeparator" w:id="0">
    <w:p w:rsidR="00D2533D" w:rsidRDefault="00D2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B62EB8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B62EB8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B62EB8">
      <w:rPr>
        <w:rStyle w:val="a7"/>
      </w:rPr>
      <w:fldChar w:fldCharType="separate"/>
    </w:r>
    <w:r w:rsidR="0044468A">
      <w:rPr>
        <w:rStyle w:val="a7"/>
        <w:noProof/>
      </w:rPr>
      <w:t>3</w:t>
    </w:r>
    <w:r w:rsidR="00B62EB8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1CD5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1742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915"/>
    <w:rsid w:val="00814D88"/>
    <w:rsid w:val="00816284"/>
    <w:rsid w:val="0081779D"/>
    <w:rsid w:val="008211CD"/>
    <w:rsid w:val="00821B3A"/>
    <w:rsid w:val="008261D7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5E16"/>
    <w:rsid w:val="00B2054B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1305"/>
    <w:rsid w:val="00E55317"/>
    <w:rsid w:val="00E57AD6"/>
    <w:rsid w:val="00E61719"/>
    <w:rsid w:val="00E61A64"/>
    <w:rsid w:val="00E658C4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5B6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269841269841E-2"/>
          <c:y val="9.4292803970223327E-2"/>
          <c:w val="0.90317460317460319"/>
          <c:h val="0.79900744416873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6411791954078E-5"/>
                  <c:y val="9.30951999563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37181978649651E-4"/>
                  <c:y val="9.674418321430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25613652265085E-3"/>
                  <c:y val="8.2049485219927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61904761904763"/>
                  <c:y val="0.7667493796526054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984126984126983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6825396825396826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3174603174603174"/>
                  <c:y val="0.6253101736972704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063492063492063"/>
                  <c:y val="0.6228287841191066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7301587301587307"/>
                  <c:y val="0.6327543424317617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2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апрель 2014г</c:v>
                </c:pt>
                <c:pt idx="1">
                  <c:v>май 2014г</c:v>
                </c:pt>
                <c:pt idx="2">
                  <c:v>июнь 2014г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8561</c:v>
                </c:pt>
                <c:pt idx="1">
                  <c:v>6211</c:v>
                </c:pt>
                <c:pt idx="2">
                  <c:v>6950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381298906363917E-2"/>
                  <c:y val="0.72456575682382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91791900606507E-2"/>
                  <c:y val="0.73449131513647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11972841818234E-2"/>
                  <c:y val="0.7468982630272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952380952380956"/>
                  <c:y val="0.736972704714640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апрель 2014г</c:v>
                </c:pt>
                <c:pt idx="1">
                  <c:v>май 2014г</c:v>
                </c:pt>
                <c:pt idx="2">
                  <c:v>июнь 2014г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апрель 2014г</c:v>
                </c:pt>
                <c:pt idx="1">
                  <c:v>май 2014г</c:v>
                </c:pt>
                <c:pt idx="2">
                  <c:v>июнь 2014г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апрель 2014г</c:v>
                </c:pt>
                <c:pt idx="1">
                  <c:v>май 2014г</c:v>
                </c:pt>
                <c:pt idx="2">
                  <c:v>июнь 2014г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100"/>
        <c:axId val="49531520"/>
        <c:axId val="49287552"/>
      </c:barChart>
      <c:catAx>
        <c:axId val="495315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8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87552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531520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37885213227826"/>
          <c:y val="6.4838771628762767E-2"/>
          <c:w val="0.81548599670510713"/>
          <c:h val="0.67438542787644307"/>
        </c:manualLayout>
      </c:layout>
      <c:bar3DChart>
        <c:barDir val="col"/>
        <c:grouping val="stack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контрольные</c:v>
                </c:pt>
              </c:strCache>
            </c:strRef>
          </c:tx>
          <c:spPr>
            <a:solidFill>
              <a:srgbClr val="FF00FF"/>
            </a:solidFill>
            <a:ln w="25367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258732092406702E-2"/>
                  <c:y val="-5.2350872642420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783050132004284E-2"/>
                  <c:y val="-6.0942903277222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68641114982578E-2"/>
                  <c:y val="-6.0886967833654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444810543657328"/>
                  <c:y val="0.312236286919831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4069192751235586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5551894563426687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55189456342668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6869851729818779"/>
                  <c:y val="0.30379746835443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7528830313014825"/>
                  <c:y val="0.27848101265822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375617792421742"/>
                  <c:y val="0.19831223628691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7858319604612853"/>
                  <c:y val="0.194092827004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517298187808899"/>
                  <c:y val="0.33544303797468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269</c:v>
                </c:pt>
                <c:pt idx="1">
                  <c:v>223</c:v>
                </c:pt>
                <c:pt idx="2">
                  <c:v>218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33CCCC"/>
            </a:solidFill>
            <a:ln w="25367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309541706317324E-2"/>
                  <c:y val="-0.27371242053949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945554251352439E-2"/>
                  <c:y val="-0.167847663531971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146622875064334E-2"/>
                  <c:y val="-0.2129841014639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280065897858319"/>
                  <c:y val="0.34810126582278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6869851729818779"/>
                  <c:y val="0.3776371308016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7528830313014825"/>
                  <c:y val="0.35232067510548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716639209225696"/>
                  <c:y val="0.34177215189873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7199341021416807"/>
                  <c:y val="0.42616033755274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6869851729818779"/>
                  <c:y val="0.40717299578059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719934102141680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8023064250411862"/>
                  <c:y val="0.39662447257383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35255354200988"/>
                  <c:y val="0.4472573839662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8561</c:v>
                </c:pt>
                <c:pt idx="1">
                  <c:v>6211</c:v>
                </c:pt>
                <c:pt idx="2">
                  <c:v>6950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49309184"/>
        <c:axId val="49310720"/>
        <c:axId val="0"/>
      </c:bar3DChart>
      <c:catAx>
        <c:axId val="4930918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310720"/>
        <c:crosses val="autoZero"/>
        <c:auto val="1"/>
        <c:lblAlgn val="ctr"/>
        <c:lblOffset val="100"/>
        <c:noMultiLvlLbl val="1"/>
      </c:catAx>
      <c:valAx>
        <c:axId val="4931072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309184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6.0088505338275165E-2"/>
          <c:y val="0.85398969512798473"/>
          <c:w val="0.836427627218431"/>
          <c:h val="6.4070664691911694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077E-2"/>
          <c:y val="0.10551558752997602"/>
          <c:w val="0.47611464968152867"/>
          <c:h val="0.717026378896882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E-2"/>
                  <c:y val="6.91863081473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104</c:v>
                </c:pt>
                <c:pt idx="1">
                  <c:v>167</c:v>
                </c:pt>
                <c:pt idx="2">
                  <c:v>123</c:v>
                </c:pt>
                <c:pt idx="3">
                  <c:v>62</c:v>
                </c:pt>
                <c:pt idx="4" formatCode="0">
                  <c:v>24</c:v>
                </c:pt>
                <c:pt idx="5">
                  <c:v>58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595"/>
          <c:y val="0"/>
          <c:w val="0.31847133757961782"/>
          <c:h val="0.97841726618705038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66"/>
          <c:h val="0.676274944567627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9902</c:v>
                </c:pt>
                <c:pt idx="1">
                  <c:v>4052</c:v>
                </c:pt>
                <c:pt idx="2">
                  <c:v>2390</c:v>
                </c:pt>
                <c:pt idx="3">
                  <c:v>1795</c:v>
                </c:pt>
                <c:pt idx="4" formatCode="0">
                  <c:v>2232</c:v>
                </c:pt>
                <c:pt idx="5">
                  <c:v>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882"/>
          <c:y val="0"/>
          <c:w val="0.33057851239669422"/>
          <c:h val="0.95343680709534373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63E-2"/>
          <c:w val="0.56299840510366828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36.049999999999997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23.18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Чукотский А.О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24.23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21.84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Санкт- Петербург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15.34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885952"/>
        <c:axId val="49887488"/>
        <c:axId val="0"/>
      </c:bar3DChart>
      <c:catAx>
        <c:axId val="4988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88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8748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88595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07"/>
          <c:y val="0.21929824561403508"/>
          <c:w val="0.33652312599681022"/>
          <c:h val="0.5614035087719297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3</cp:revision>
  <cp:lastPrinted>2013-06-05T14:27:00Z</cp:lastPrinted>
  <dcterms:created xsi:type="dcterms:W3CDTF">2014-07-15T12:22:00Z</dcterms:created>
  <dcterms:modified xsi:type="dcterms:W3CDTF">2014-07-22T09:08:00Z</dcterms:modified>
</cp:coreProperties>
</file>