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19" w:rsidRPr="00F94EEF" w:rsidRDefault="001C36EB" w:rsidP="00F94EEF">
      <w:pPr>
        <w:pStyle w:val="Standard"/>
        <w:spacing w:line="360" w:lineRule="auto"/>
        <w:ind w:left="567" w:right="-568"/>
        <w:jc w:val="center"/>
        <w:rPr>
          <w:rFonts w:cs="Times New Roman"/>
          <w:b/>
          <w:sz w:val="28"/>
          <w:szCs w:val="28"/>
        </w:rPr>
      </w:pPr>
      <w:r w:rsidRPr="006769F5">
        <w:rPr>
          <w:rFonts w:cs="Times New Roman"/>
          <w:b/>
          <w:sz w:val="28"/>
          <w:szCs w:val="28"/>
        </w:rPr>
        <w:t>Рекомендации по внесению изменений в региональные «дорожные карты»</w:t>
      </w:r>
      <w:r w:rsidR="00F94EEF">
        <w:rPr>
          <w:rFonts w:cs="Times New Roman"/>
          <w:b/>
          <w:sz w:val="28"/>
          <w:szCs w:val="28"/>
        </w:rPr>
        <w:t xml:space="preserve">, </w:t>
      </w:r>
      <w:r w:rsidR="00F94EEF" w:rsidRPr="00F94EEF">
        <w:rPr>
          <w:rFonts w:cs="Times New Roman"/>
          <w:b/>
          <w:sz w:val="28"/>
          <w:szCs w:val="28"/>
        </w:rPr>
        <w:t>направленные на повышение эффективности здравоохранения</w:t>
      </w:r>
      <w:r w:rsidRPr="006769F5">
        <w:rPr>
          <w:rFonts w:cs="Times New Roman"/>
          <w:b/>
          <w:sz w:val="28"/>
          <w:szCs w:val="28"/>
        </w:rPr>
        <w:t>.</w:t>
      </w:r>
    </w:p>
    <w:p w:rsidR="006769F5" w:rsidRDefault="006769F5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Указом Президента Российской Федерации от 7 мая 2012 г. №597 «О мероприятиях по реализации государственной социальной политики» (далее </w:t>
      </w:r>
      <w:r w:rsidR="00AA4BE3" w:rsidRPr="006769F5">
        <w:rPr>
          <w:rFonts w:cs="Times New Roman"/>
          <w:sz w:val="28"/>
          <w:szCs w:val="28"/>
        </w:rPr>
        <w:t>–</w:t>
      </w:r>
      <w:r w:rsidRPr="006769F5">
        <w:rPr>
          <w:rFonts w:cs="Times New Roman"/>
          <w:sz w:val="28"/>
          <w:szCs w:val="28"/>
        </w:rPr>
        <w:t xml:space="preserve"> Указ</w:t>
      </w:r>
      <w:r w:rsidR="00AA4BE3" w:rsidRPr="006769F5">
        <w:rPr>
          <w:rFonts w:cs="Times New Roman"/>
          <w:sz w:val="28"/>
          <w:szCs w:val="28"/>
        </w:rPr>
        <w:t xml:space="preserve"> Президента</w:t>
      </w:r>
      <w:r w:rsidRPr="006769F5">
        <w:rPr>
          <w:rFonts w:cs="Times New Roman"/>
          <w:sz w:val="28"/>
          <w:szCs w:val="28"/>
        </w:rPr>
        <w:t xml:space="preserve"> № 597) определен комплекс мер, направленных на дальнейшее совершенствование государственной социальной политики, в том числе на повышение оплаты труда работников образования, здравоохранения, науки, культуры и социального обслуживания населения.</w:t>
      </w: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>Для сохранения кадрового потенциала, повышения престижности и привлекательности профессий в бюджетном секторе экономики в соответствии с Указом Президента № 597 Правительство Р</w:t>
      </w:r>
      <w:r w:rsidR="00AA4BE3" w:rsidRPr="006769F5">
        <w:rPr>
          <w:rFonts w:cs="Times New Roman"/>
          <w:sz w:val="28"/>
          <w:szCs w:val="28"/>
        </w:rPr>
        <w:t xml:space="preserve">оссийской </w:t>
      </w:r>
      <w:r w:rsidRPr="006769F5">
        <w:rPr>
          <w:rFonts w:cs="Times New Roman"/>
          <w:sz w:val="28"/>
          <w:szCs w:val="28"/>
        </w:rPr>
        <w:t>Ф</w:t>
      </w:r>
      <w:r w:rsidR="00AA4BE3" w:rsidRPr="006769F5">
        <w:rPr>
          <w:rFonts w:cs="Times New Roman"/>
          <w:sz w:val="28"/>
          <w:szCs w:val="28"/>
        </w:rPr>
        <w:t>едерации</w:t>
      </w:r>
      <w:r w:rsidRPr="006769F5">
        <w:rPr>
          <w:rFonts w:cs="Times New Roman"/>
          <w:sz w:val="28"/>
          <w:szCs w:val="28"/>
        </w:rPr>
        <w:t xml:space="preserve"> распоряжением от 26 ноября 2012 г. № 2190-р утвердило </w:t>
      </w:r>
      <w:hyperlink r:id="rId7" w:history="1">
        <w:r w:rsidRPr="006769F5">
          <w:rPr>
            <w:rFonts w:cs="Times New Roman"/>
            <w:sz w:val="28"/>
            <w:szCs w:val="28"/>
          </w:rPr>
          <w:t>программу</w:t>
        </w:r>
      </w:hyperlink>
      <w:r w:rsidRPr="006769F5">
        <w:rPr>
          <w:rFonts w:cs="Times New Roman"/>
          <w:sz w:val="28"/>
          <w:szCs w:val="28"/>
        </w:rPr>
        <w:t xml:space="preserve"> поэтапного совершенствования системы оплаты труда работников бюджетного сектора экономики на 2012-2018 годы (далее – Программа), которой в качестве основной задачи предусматривается ориентация системы оплаты труда на достижение конкретных показателей качества</w:t>
      </w:r>
      <w:proofErr w:type="gramEnd"/>
      <w:r w:rsidRPr="006769F5">
        <w:rPr>
          <w:rFonts w:cs="Times New Roman"/>
          <w:sz w:val="28"/>
          <w:szCs w:val="28"/>
        </w:rPr>
        <w:t xml:space="preserve"> и количества оказываемых государственных услуг (выполнения работ).</w:t>
      </w: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В соответствии с Планом мероприятий Программы Минздравом России, разработан </w:t>
      </w:r>
      <w:r w:rsidR="00AA4BE3" w:rsidRPr="006769F5">
        <w:rPr>
          <w:rFonts w:cs="Times New Roman"/>
          <w:sz w:val="28"/>
          <w:szCs w:val="28"/>
        </w:rPr>
        <w:t>и утвержден распоряжением Правительства Российской Федерации</w:t>
      </w:r>
      <w:bookmarkStart w:id="0" w:name="From"/>
      <w:bookmarkEnd w:id="0"/>
      <w:r w:rsidR="00AA4BE3" w:rsidRPr="006769F5">
        <w:rPr>
          <w:rFonts w:cs="Times New Roman"/>
          <w:sz w:val="28"/>
          <w:szCs w:val="28"/>
        </w:rPr>
        <w:t xml:space="preserve"> 28 декабря 2012 г.</w:t>
      </w:r>
      <w:r w:rsidR="0062657F" w:rsidRPr="006769F5">
        <w:rPr>
          <w:rFonts w:cs="Times New Roman"/>
          <w:sz w:val="28"/>
          <w:szCs w:val="28"/>
        </w:rPr>
        <w:t xml:space="preserve"> </w:t>
      </w:r>
      <w:r w:rsidR="00AA4BE3" w:rsidRPr="006769F5">
        <w:rPr>
          <w:rFonts w:cs="Times New Roman"/>
          <w:sz w:val="28"/>
          <w:szCs w:val="28"/>
        </w:rPr>
        <w:t xml:space="preserve">№ </w:t>
      </w:r>
      <w:bookmarkStart w:id="1" w:name="SignNumber"/>
      <w:bookmarkEnd w:id="1"/>
      <w:r w:rsidR="00AA4BE3" w:rsidRPr="006769F5">
        <w:rPr>
          <w:rFonts w:cs="Times New Roman"/>
          <w:sz w:val="28"/>
          <w:szCs w:val="28"/>
        </w:rPr>
        <w:t>2599-р План мероприятий (</w:t>
      </w:r>
      <w:r w:rsidR="0034779D" w:rsidRPr="006769F5">
        <w:rPr>
          <w:rFonts w:cs="Times New Roman"/>
          <w:sz w:val="28"/>
          <w:szCs w:val="28"/>
        </w:rPr>
        <w:t>«дорожная карта»)  «И</w:t>
      </w:r>
      <w:r w:rsidRPr="006769F5">
        <w:rPr>
          <w:rFonts w:cs="Times New Roman"/>
          <w:sz w:val="28"/>
          <w:szCs w:val="28"/>
        </w:rPr>
        <w:t>зменени</w:t>
      </w:r>
      <w:r w:rsidR="0034779D" w:rsidRPr="006769F5">
        <w:rPr>
          <w:rFonts w:cs="Times New Roman"/>
          <w:sz w:val="28"/>
          <w:szCs w:val="28"/>
        </w:rPr>
        <w:t>я</w:t>
      </w:r>
      <w:r w:rsidR="0062657F" w:rsidRPr="006769F5">
        <w:rPr>
          <w:rFonts w:cs="Times New Roman"/>
          <w:sz w:val="28"/>
          <w:szCs w:val="28"/>
        </w:rPr>
        <w:t xml:space="preserve"> в отраслях </w:t>
      </w:r>
      <w:r w:rsidRPr="006769F5">
        <w:rPr>
          <w:rFonts w:cs="Times New Roman"/>
          <w:sz w:val="28"/>
          <w:szCs w:val="28"/>
        </w:rPr>
        <w:t>социальной сферы, направленные на повышение эффективности здравоохранения</w:t>
      </w:r>
      <w:r w:rsidR="0034779D" w:rsidRPr="006769F5">
        <w:rPr>
          <w:rFonts w:cs="Times New Roman"/>
          <w:sz w:val="28"/>
          <w:szCs w:val="28"/>
        </w:rPr>
        <w:t>»</w:t>
      </w:r>
      <w:r w:rsidRPr="006769F5">
        <w:rPr>
          <w:rFonts w:cs="Times New Roman"/>
          <w:sz w:val="28"/>
          <w:szCs w:val="28"/>
        </w:rPr>
        <w:t xml:space="preserve"> </w:t>
      </w:r>
      <w:r w:rsidR="0034779D" w:rsidRPr="006769F5">
        <w:rPr>
          <w:rFonts w:cs="Times New Roman"/>
          <w:sz w:val="28"/>
          <w:szCs w:val="28"/>
        </w:rPr>
        <w:t xml:space="preserve">(далее – отраслевая «дорожная карта»).  </w:t>
      </w: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 </w:t>
      </w:r>
      <w:proofErr w:type="gramStart"/>
      <w:r w:rsidRPr="006769F5">
        <w:rPr>
          <w:rFonts w:cs="Times New Roman"/>
          <w:sz w:val="28"/>
          <w:szCs w:val="28"/>
        </w:rPr>
        <w:t>В отраслевую «дорожную карту» включены мероприятия по проведению структурных реформ в отрасли, обеспечивающие возможность использования не менее трети необходимых ресурсов для повышения оплаты труда за счет реорганизации неэффективных организаций</w:t>
      </w:r>
      <w:r w:rsidR="0034779D" w:rsidRPr="006769F5">
        <w:rPr>
          <w:rFonts w:cs="Times New Roman"/>
          <w:sz w:val="28"/>
          <w:szCs w:val="28"/>
        </w:rPr>
        <w:t xml:space="preserve"> в целях</w:t>
      </w:r>
      <w:r w:rsidRPr="006769F5">
        <w:rPr>
          <w:rFonts w:cs="Times New Roman"/>
          <w:sz w:val="28"/>
          <w:szCs w:val="28"/>
        </w:rPr>
        <w:t xml:space="preserve"> поэтапно</w:t>
      </w:r>
      <w:r w:rsidR="0034779D" w:rsidRPr="006769F5">
        <w:rPr>
          <w:rFonts w:cs="Times New Roman"/>
          <w:sz w:val="28"/>
          <w:szCs w:val="28"/>
        </w:rPr>
        <w:t>го повышения</w:t>
      </w:r>
      <w:r w:rsidRPr="006769F5">
        <w:rPr>
          <w:rFonts w:cs="Times New Roman"/>
          <w:sz w:val="28"/>
          <w:szCs w:val="28"/>
        </w:rPr>
        <w:t xml:space="preserve"> заработной платы</w:t>
      </w:r>
      <w:r w:rsidR="0034779D" w:rsidRPr="006769F5">
        <w:rPr>
          <w:rFonts w:cs="Times New Roman"/>
          <w:sz w:val="28"/>
          <w:szCs w:val="28"/>
        </w:rPr>
        <w:t xml:space="preserve"> </w:t>
      </w:r>
      <w:r w:rsidRPr="006769F5">
        <w:rPr>
          <w:rFonts w:cs="Times New Roman"/>
          <w:sz w:val="28"/>
          <w:szCs w:val="28"/>
        </w:rPr>
        <w:t>медицинских работников, повышени</w:t>
      </w:r>
      <w:r w:rsidR="0062657F" w:rsidRPr="006769F5">
        <w:rPr>
          <w:rFonts w:cs="Times New Roman"/>
          <w:sz w:val="28"/>
          <w:szCs w:val="28"/>
        </w:rPr>
        <w:t>я</w:t>
      </w:r>
      <w:r w:rsidRPr="006769F5">
        <w:rPr>
          <w:rFonts w:cs="Times New Roman"/>
          <w:sz w:val="28"/>
          <w:szCs w:val="28"/>
        </w:rPr>
        <w:t xml:space="preserve"> престижности работы в  учреждениях здравоохранения, сохранени</w:t>
      </w:r>
      <w:r w:rsidR="0062657F" w:rsidRPr="006769F5">
        <w:rPr>
          <w:rFonts w:cs="Times New Roman"/>
          <w:sz w:val="28"/>
          <w:szCs w:val="28"/>
        </w:rPr>
        <w:t>я</w:t>
      </w:r>
      <w:r w:rsidRPr="006769F5">
        <w:rPr>
          <w:rFonts w:cs="Times New Roman"/>
          <w:sz w:val="28"/>
          <w:szCs w:val="28"/>
        </w:rPr>
        <w:t xml:space="preserve"> кадрового потенциала и обеспечени</w:t>
      </w:r>
      <w:r w:rsidR="0062657F" w:rsidRPr="006769F5">
        <w:rPr>
          <w:rFonts w:cs="Times New Roman"/>
          <w:sz w:val="28"/>
          <w:szCs w:val="28"/>
        </w:rPr>
        <w:t>я</w:t>
      </w:r>
      <w:r w:rsidRPr="006769F5">
        <w:rPr>
          <w:rFonts w:cs="Times New Roman"/>
          <w:sz w:val="28"/>
          <w:szCs w:val="28"/>
        </w:rPr>
        <w:t xml:space="preserve"> соответствия оплаты труда качеству оказываемых услуг.</w:t>
      </w:r>
      <w:proofErr w:type="gramEnd"/>
    </w:p>
    <w:p w:rsidR="00067480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 xml:space="preserve">Субъектами Российской Федерации по согласованию с Минздравом </w:t>
      </w:r>
      <w:r w:rsidRPr="006769F5">
        <w:rPr>
          <w:rFonts w:cs="Times New Roman"/>
          <w:sz w:val="28"/>
          <w:szCs w:val="28"/>
        </w:rPr>
        <w:lastRenderedPageBreak/>
        <w:t xml:space="preserve">России утверждены </w:t>
      </w:r>
      <w:r w:rsidR="0062657F" w:rsidRPr="006769F5">
        <w:rPr>
          <w:rFonts w:cs="Times New Roman"/>
          <w:sz w:val="28"/>
          <w:szCs w:val="28"/>
        </w:rPr>
        <w:t xml:space="preserve">региональные </w:t>
      </w:r>
      <w:r w:rsidRPr="006769F5">
        <w:rPr>
          <w:rFonts w:cs="Times New Roman"/>
          <w:sz w:val="28"/>
          <w:szCs w:val="28"/>
        </w:rPr>
        <w:t>«дорожные карты»</w:t>
      </w:r>
      <w:r w:rsidR="00427746">
        <w:rPr>
          <w:rFonts w:cs="Times New Roman"/>
          <w:sz w:val="28"/>
          <w:szCs w:val="28"/>
        </w:rPr>
        <w:t>, направленные на повышение эффективности здравоохранения (далее – региональные «дорожные карты»)</w:t>
      </w:r>
      <w:r w:rsidRPr="006769F5">
        <w:rPr>
          <w:rFonts w:cs="Times New Roman"/>
          <w:sz w:val="28"/>
          <w:szCs w:val="28"/>
        </w:rPr>
        <w:t>, содержащие целевые индикаторы развития отрасли, оптимизацию структуры и определение динамики значений соотношения средней заработной платы категорий  работников, определенных Указом Президента № 597, и средней заработной платы в соответствующем субъекте Российской Федерации в 2012 - 2018 годах.</w:t>
      </w:r>
      <w:proofErr w:type="gramEnd"/>
      <w:r w:rsidR="009904FB" w:rsidRPr="006769F5">
        <w:rPr>
          <w:rFonts w:cs="Times New Roman"/>
          <w:sz w:val="28"/>
          <w:szCs w:val="28"/>
        </w:rPr>
        <w:t xml:space="preserve"> Однако</w:t>
      </w:r>
      <w:r w:rsidRPr="006769F5">
        <w:rPr>
          <w:rFonts w:cs="Times New Roman"/>
          <w:sz w:val="28"/>
          <w:szCs w:val="28"/>
        </w:rPr>
        <w:t xml:space="preserve">, </w:t>
      </w:r>
      <w:r w:rsidR="009904FB" w:rsidRPr="006769F5">
        <w:rPr>
          <w:rFonts w:cs="Times New Roman"/>
          <w:sz w:val="28"/>
          <w:szCs w:val="28"/>
        </w:rPr>
        <w:t>региональные «дорожные карты» субъектов</w:t>
      </w:r>
      <w:r w:rsidRPr="006769F5">
        <w:rPr>
          <w:rFonts w:cs="Times New Roman"/>
          <w:sz w:val="28"/>
          <w:szCs w:val="28"/>
        </w:rPr>
        <w:t xml:space="preserve"> Российской Федерации не в полной мере предусм</w:t>
      </w:r>
      <w:r w:rsidR="009904FB" w:rsidRPr="006769F5">
        <w:rPr>
          <w:rFonts w:cs="Times New Roman"/>
          <w:sz w:val="28"/>
          <w:szCs w:val="28"/>
        </w:rPr>
        <w:t xml:space="preserve">атривают </w:t>
      </w:r>
      <w:r w:rsidRPr="006769F5">
        <w:rPr>
          <w:rFonts w:cs="Times New Roman"/>
          <w:sz w:val="28"/>
          <w:szCs w:val="28"/>
        </w:rPr>
        <w:t xml:space="preserve">рекомендованный </w:t>
      </w:r>
      <w:r w:rsidR="009904FB" w:rsidRPr="006769F5">
        <w:rPr>
          <w:rFonts w:cs="Times New Roman"/>
          <w:sz w:val="28"/>
          <w:szCs w:val="28"/>
        </w:rPr>
        <w:t xml:space="preserve">отраслевой «дорожной картой» </w:t>
      </w:r>
      <w:r w:rsidRPr="006769F5">
        <w:rPr>
          <w:rFonts w:cs="Times New Roman"/>
          <w:sz w:val="28"/>
          <w:szCs w:val="28"/>
        </w:rPr>
        <w:t xml:space="preserve">комплекс мероприятий, </w:t>
      </w:r>
      <w:r w:rsidR="009904FB" w:rsidRPr="006769F5">
        <w:rPr>
          <w:rFonts w:cs="Times New Roman"/>
          <w:sz w:val="28"/>
          <w:szCs w:val="28"/>
        </w:rPr>
        <w:t>направленных на повышение эффективности деятельности сети и реорганизацию структуры неэффективных учреждений, увеличени</w:t>
      </w:r>
      <w:r w:rsidR="00F94EEF">
        <w:rPr>
          <w:rFonts w:cs="Times New Roman"/>
          <w:sz w:val="28"/>
          <w:szCs w:val="28"/>
        </w:rPr>
        <w:t>е</w:t>
      </w:r>
      <w:r w:rsidR="009904FB" w:rsidRPr="006769F5">
        <w:rPr>
          <w:rFonts w:cs="Times New Roman"/>
          <w:sz w:val="28"/>
          <w:szCs w:val="28"/>
        </w:rPr>
        <w:t xml:space="preserve"> доходов </w:t>
      </w:r>
      <w:r w:rsidR="00F94EEF">
        <w:rPr>
          <w:rFonts w:cs="Times New Roman"/>
          <w:sz w:val="28"/>
          <w:szCs w:val="28"/>
        </w:rPr>
        <w:t>от</w:t>
      </w:r>
      <w:r w:rsidR="009904FB" w:rsidRPr="006769F5">
        <w:rPr>
          <w:rFonts w:cs="Times New Roman"/>
          <w:sz w:val="28"/>
          <w:szCs w:val="28"/>
        </w:rPr>
        <w:t xml:space="preserve"> </w:t>
      </w:r>
      <w:r w:rsidR="00F94EEF">
        <w:rPr>
          <w:rFonts w:cs="Times New Roman"/>
          <w:sz w:val="28"/>
          <w:szCs w:val="28"/>
        </w:rPr>
        <w:t>приносящей доход</w:t>
      </w:r>
      <w:r w:rsidR="009904FB" w:rsidRPr="006769F5">
        <w:rPr>
          <w:rFonts w:cs="Times New Roman"/>
          <w:sz w:val="28"/>
          <w:szCs w:val="28"/>
        </w:rPr>
        <w:t xml:space="preserve"> деятельности, оптимизацию численности работающих, в целях реализации Указа Президента </w:t>
      </w:r>
      <w:r w:rsidRPr="006769F5">
        <w:rPr>
          <w:rFonts w:cs="Times New Roman"/>
          <w:sz w:val="28"/>
          <w:szCs w:val="28"/>
        </w:rPr>
        <w:t>№ 597</w:t>
      </w:r>
      <w:r w:rsidR="009904FB" w:rsidRPr="006769F5">
        <w:rPr>
          <w:rFonts w:cs="Times New Roman"/>
          <w:sz w:val="28"/>
          <w:szCs w:val="28"/>
        </w:rPr>
        <w:t>.</w:t>
      </w:r>
      <w:r w:rsidR="00067480" w:rsidRPr="006769F5">
        <w:rPr>
          <w:rFonts w:cs="Times New Roman"/>
          <w:sz w:val="28"/>
          <w:szCs w:val="28"/>
        </w:rPr>
        <w:t xml:space="preserve"> </w:t>
      </w:r>
    </w:p>
    <w:p w:rsidR="00237C3D" w:rsidRPr="006769F5" w:rsidRDefault="00067480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Таким образом, Минздрав России считает необходимым внесение изменений в региональные «дорожные карты»</w:t>
      </w:r>
      <w:r w:rsidR="00237C3D" w:rsidRPr="006769F5">
        <w:rPr>
          <w:rFonts w:cs="Times New Roman"/>
          <w:sz w:val="28"/>
          <w:szCs w:val="28"/>
        </w:rPr>
        <w:t>, предусмотрев на уровне субъекта Российской Федерации:</w:t>
      </w:r>
    </w:p>
    <w:p w:rsidR="005902EC" w:rsidRDefault="005902EC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Корректировку региональных «дорожных карт» в части установл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ния соответствия показателей региональных «дорожных карт»</w:t>
      </w:r>
      <w:r w:rsidR="004277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показателям, у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тановленным </w:t>
      </w:r>
      <w:r w:rsidR="004277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осударственн</w:t>
      </w:r>
      <w:r w:rsidR="00F94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ой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программ</w:t>
      </w:r>
      <w:r w:rsidR="00F94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ой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развития </w:t>
      </w:r>
      <w:r w:rsidR="00F94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здравоохранения </w:t>
      </w:r>
      <w:r w:rsidR="006A0F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</w:t>
      </w:r>
      <w:r w:rsidR="006A0F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й</w:t>
      </w:r>
      <w:r w:rsidR="006A0FD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ской Федерации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отраслев</w:t>
      </w:r>
      <w:r w:rsidR="00F94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ой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«дорожн</w:t>
      </w:r>
      <w:r w:rsidR="00F94EE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ой карт</w:t>
      </w:r>
      <w:r w:rsidR="004277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ой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 (оцифрованные, по годам), а также корректировку показателей повышения заработной платы </w:t>
      </w:r>
      <w:r w:rsidR="004277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медицинских работников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учетом </w:t>
      </w:r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установления </w:t>
      </w:r>
      <w:proofErr w:type="gramStart"/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показателей</w:t>
      </w:r>
      <w:proofErr w:type="gramEnd"/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прогнозный год исходя из не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снижения абсолютного (в рублях) уровня заработной платы, достигнутого в пред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шествующем</w:t>
      </w:r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году, если показатель региональной «</w:t>
      </w:r>
      <w:proofErr w:type="gramStart"/>
      <w:r w:rsidR="0087298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дорожной карты» в предшествующем году превысил </w:t>
      </w:r>
      <w:r w:rsidR="0083073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установленный Программой на прогнозный год. </w:t>
      </w:r>
      <w:proofErr w:type="gramEnd"/>
    </w:p>
    <w:p w:rsidR="00830732" w:rsidRPr="0087298C" w:rsidRDefault="00830732" w:rsidP="00830732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Если в региональной «дорожной карте» показатель ниже установленного Программой</w:t>
      </w:r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принимается </w:t>
      </w:r>
      <w:proofErr w:type="gramStart"/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показатель</w:t>
      </w:r>
      <w:proofErr w:type="gramEnd"/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установленный  региональной «доро</w:t>
      </w:r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</w:t>
      </w:r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ной картой» при условии достижения показател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установленных Указом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F2EF2" w:rsidRP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</w:t>
      </w:r>
      <w:r w:rsidR="002F2EF2" w:rsidRP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2F2EF2" w:rsidRP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зидента № 597 </w:t>
      </w:r>
      <w:r w:rsidR="0066799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2017 г.</w:t>
      </w:r>
    </w:p>
    <w:p w:rsidR="00FF507C" w:rsidRPr="006769F5" w:rsidRDefault="005902EC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Включение дополнительных показателей, отражающих достиж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ние структурных преобразований системы оказания медицинской помощи, в том числе оптимального использования коечного фонда и развития «</w:t>
      </w:r>
      <w:proofErr w:type="spell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стацион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розамещающих</w:t>
      </w:r>
      <w:proofErr w:type="spellEnd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 технологий</w:t>
      </w:r>
      <w:r w:rsidR="00FF507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обеспечивающих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рационально</w:t>
      </w:r>
      <w:r w:rsidR="00FF507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расходовани</w:t>
      </w:r>
      <w:r w:rsidR="00FF507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 (использование)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F507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материальных и кадровых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ресурсов</w:t>
      </w:r>
      <w:r w:rsidR="00FF507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5902EC" w:rsidRPr="006769F5" w:rsidRDefault="00FF507C" w:rsidP="006769F5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Для этого в </w:t>
      </w:r>
      <w:r w:rsidR="0042774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региональных 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«дорожных картах» следует актуализировать такие показатели как число дней работы койки в году, среднюю длительность лечения больного в стационаре и </w:t>
      </w:r>
      <w:proofErr w:type="spellStart"/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др</w:t>
      </w:r>
      <w:proofErr w:type="spellEnd"/>
      <w:proofErr w:type="gramEnd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включить такие показатели как ч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исло коек круглосуточных стационаров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абс</w:t>
      </w:r>
      <w:proofErr w:type="spellEnd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), 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число коек дневных стацион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ров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абс</w:t>
      </w:r>
      <w:proofErr w:type="spellEnd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), 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 них: в амбулаторно-поликлинических учреждениях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</w:t>
      </w:r>
      <w:proofErr w:type="spellStart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абс</w:t>
      </w:r>
      <w:proofErr w:type="spellEnd"/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 и др.</w:t>
      </w:r>
      <w:r w:rsidR="005902E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E774EF" w:rsidRPr="006769F5" w:rsidRDefault="00531ECF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точн</w:t>
      </w:r>
      <w:r w:rsidR="00067480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ени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потребност</w:t>
      </w:r>
      <w:r w:rsidR="00067480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дополнительных ресурсах на повышение заработн</w:t>
      </w:r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ой платы медицинских работников, а также корректировку принципов распределения средств на повышение </w:t>
      </w:r>
      <w:proofErr w:type="gramStart"/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оплаты труда определенных категорий работников сферы </w:t>
      </w:r>
      <w:r w:rsidR="004223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здравоохранения</w:t>
      </w:r>
      <w:proofErr w:type="gramEnd"/>
      <w:r w:rsidR="004223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 учетом типов учреждений, видов и объ</w:t>
      </w:r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мов оказываемых ими услуг.</w:t>
      </w: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Для этого в региональные «дорожные карты» следует включить предварительный анализ уровня и динамики заработной платы медицинских работников внутри соответствующих категорий, а также работников отрасли, повышение заработной платы которых не предусмотрено Указом Президента Российской Федерации от 7 мая 2012 г. № 597, в том числе в части дефицита</w:t>
      </w:r>
      <w:r w:rsidR="00531ECF" w:rsidRPr="006769F5">
        <w:rPr>
          <w:rFonts w:cs="Times New Roman"/>
          <w:sz w:val="28"/>
          <w:szCs w:val="28"/>
        </w:rPr>
        <w:t>/</w:t>
      </w:r>
      <w:r w:rsidRPr="006769F5">
        <w:rPr>
          <w:rFonts w:cs="Times New Roman"/>
          <w:sz w:val="28"/>
          <w:szCs w:val="28"/>
        </w:rPr>
        <w:t>избытка кадров.</w:t>
      </w:r>
    </w:p>
    <w:p w:rsidR="00682C19" w:rsidRPr="006769F5" w:rsidRDefault="001C36EB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При этом, рекомендуется не допускать отставания от установленных </w:t>
      </w:r>
      <w:r w:rsidR="00E774EF" w:rsidRPr="006769F5">
        <w:rPr>
          <w:rFonts w:cs="Times New Roman"/>
          <w:sz w:val="28"/>
          <w:szCs w:val="28"/>
        </w:rPr>
        <w:t xml:space="preserve">в отраслевой «дорожной карте» </w:t>
      </w:r>
      <w:r w:rsidRPr="006769F5">
        <w:rPr>
          <w:rFonts w:cs="Times New Roman"/>
          <w:sz w:val="28"/>
          <w:szCs w:val="28"/>
        </w:rPr>
        <w:t>показателей заработной платы медицинских работников по одним категориям при превышении целевых показателей по другим категориям, предусмотрев меры по оптимизации динамики повышения заработной платы отдельных категорий работников.</w:t>
      </w:r>
    </w:p>
    <w:p w:rsidR="00682C19" w:rsidRPr="006769F5" w:rsidRDefault="00531ECF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еры по устранению диспропорций в оплате труда каждой катег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рии медицинских работников, занятых в медицинских организациях  субъектов Российской Федерации и в медицинских организациях органов местного сам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управления, а также диспропорцию в оплате труда медицинских работников, 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занятых </w:t>
      </w:r>
      <w:r w:rsidR="00D77E77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медицинских организациях и ме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дицинских рабо</w:t>
      </w:r>
      <w:r w:rsidR="004B32A4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тников, занятых в о</w:t>
      </w:r>
      <w:r w:rsidR="004B32A4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4B32A4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ганизациях о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бразования, культуры, социальной защиты.</w:t>
      </w:r>
    </w:p>
    <w:p w:rsidR="00113ADE" w:rsidRDefault="00504F5F" w:rsidP="00113ADE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онкретные  мероприятия по оптимизации неэффективных расх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дов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(включая стоимостную оценку)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 том числе на оплату труда вспомогател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ь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ного и административно-управленческого персонала </w:t>
      </w:r>
      <w:r w:rsidR="00E774EF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(с учетом предельной доли расходов на оплату их труда в фонде оплаты труда учреждения - не более 40 процентов) 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 счет передачи </w:t>
      </w:r>
      <w:proofErr w:type="spellStart"/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неключевых</w:t>
      </w:r>
      <w:proofErr w:type="spellEnd"/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функций (бухгалтерские службы, службы управления персоналом, службы эксплуатации) </w:t>
      </w:r>
      <w:proofErr w:type="spellStart"/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аутсорсерам</w:t>
      </w:r>
      <w:proofErr w:type="spellEnd"/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сокращ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1C36EB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ния неэффективных организаций, увелич</w:t>
      </w:r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ения доходов от платных услуг, с ц</w:t>
      </w:r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лью</w:t>
      </w:r>
      <w:proofErr w:type="gramEnd"/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привлечения средств на повышение заработной платы медицинским рабо</w:t>
      </w:r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="00B5392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никам.</w:t>
      </w:r>
    </w:p>
    <w:p w:rsidR="00042971" w:rsidRDefault="00FC5B75" w:rsidP="0051299B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Внедрение показателей эффективности деятельности основных к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тегорий работников в соответствии с </w:t>
      </w:r>
      <w:r w:rsidR="000429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етодически</w:t>
      </w:r>
      <w:r w:rsidR="000429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ми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рекомендаци</w:t>
      </w:r>
      <w:r w:rsidR="000429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ями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 разр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ботке органами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государственной власти субъектов Российской Федерации и о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ганами 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местного самоуправления показателей эффективности деятельности подведомственных государственных (муниципальных) учреждений, их руков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дителей и работников по видам учреждений и основным категориям работн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кам</w:t>
      </w:r>
      <w:r w:rsidR="0004297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утвержденных приказом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Минздрава России </w:t>
      </w:r>
      <w:r w:rsidR="00113ADE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 28 июня 2013 года № 421</w:t>
      </w:r>
      <w:r w:rsidR="00113ADE">
        <w:rPr>
          <w:sz w:val="28"/>
          <w:szCs w:val="28"/>
        </w:rPr>
        <w:t xml:space="preserve"> </w:t>
      </w:r>
      <w:r w:rsidR="001C36EB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заключение трудовых договоров в соответствии с примерной</w:t>
      </w:r>
      <w:proofErr w:type="gramEnd"/>
      <w:r w:rsidR="001C36EB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формой трудового договор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(«эффективный контракт»), приведенной в приложении № 3 к Пр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2F2E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грамме.</w:t>
      </w:r>
    </w:p>
    <w:p w:rsidR="0051299B" w:rsidRPr="00042971" w:rsidRDefault="002A58F7" w:rsidP="00042971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том числе предусмотрев п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роведение 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оценки уровня соответствия зан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маемой должности или выполняемой работе (аттестации) 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специалистов с п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следующим их переводом на 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эффективный контракт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соответствии с рек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мендациями, утвержденными приказом Минтруда России от 26 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</w:t>
      </w:r>
      <w:r w:rsidR="0033563A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эффективного контракта».</w:t>
      </w:r>
      <w:proofErr w:type="gramEnd"/>
      <w:r w:rsidR="002C4AC9" w:rsidRPr="00113AD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Для этого на уровне организаций необходимо:</w:t>
      </w:r>
    </w:p>
    <w:p w:rsidR="002A58F7" w:rsidRPr="006769F5" w:rsidRDefault="002A58F7" w:rsidP="006769F5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провести разъяснительную работу среди коллектива, учитывая, что н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соответствие работника занимаемой должности или выполняемой работе всле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ствие </w:t>
      </w:r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недостаточной квалификации, подтвержденной результатами аттестации может</w:t>
      </w:r>
      <w:proofErr w:type="gramEnd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повлечь расторжение трудового договора по инициативе работодателя;</w:t>
      </w:r>
    </w:p>
    <w:p w:rsidR="002A58F7" w:rsidRPr="006769F5" w:rsidRDefault="002A58F7" w:rsidP="006769F5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создать аттестационную комиссию с обязательным включением в нее представителя выборного органа соответствующей первичной профсоюзной о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ганизации;</w:t>
      </w:r>
    </w:p>
    <w:p w:rsidR="002A58F7" w:rsidRPr="006769F5" w:rsidRDefault="002A58F7" w:rsidP="006769F5">
      <w:pPr>
        <w:pStyle w:val="a5"/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определить категории специалистов, которые не подлежат аттестации (беременные женщины, лица, находящиеся в отпуске по уходу за ребенком до достижения им возраста 3 лет, специалисты, отработавшие в организации (на занимаемой должности) менее года, лица, вышедшие на работу после длител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ь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ного перерыва и др.);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- утвердить порядок проведения аттестации, включая план-график проведения аттестации по категориям работников и (или) структурным подразделениям, «пакет» документов представляемых аттестационной комиссии;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- провести аттестацию специалистов;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- принять необходимые меры по устранению, выявленных в ходе проведения аттестации недостатков.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bookmarkStart w:id="2" w:name="bookmark1"/>
      <w:r w:rsidRPr="006769F5">
        <w:rPr>
          <w:rFonts w:cs="Times New Roman"/>
          <w:sz w:val="28"/>
          <w:szCs w:val="28"/>
        </w:rPr>
        <w:t>В ходе подготовки и проведения аттестации специалистов должна быть проделана следующая работа:</w:t>
      </w:r>
      <w:bookmarkEnd w:id="2"/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- проведена проверка соответствия должностных обязанностей, определенных трудовым договором (должностей инструкцией) и фактически исполняемых трудовых обязанностей работника. Выявленные неточности должны быть устранены при последующем переводе работника на «эффективный контракт».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- проведена проверка соответствия квалификации работника, требуемой квалификации для выполнения должностных обязанностей. По итогам проверки, в частности, может быть принято решение о направления работника на повышение квалификации.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- проведена проверка выполнения работником показателей эффективности деятельности, как установленных в организации, так и </w:t>
      </w:r>
      <w:r w:rsidRPr="006769F5">
        <w:rPr>
          <w:rFonts w:cs="Times New Roman"/>
          <w:sz w:val="28"/>
          <w:szCs w:val="28"/>
        </w:rPr>
        <w:lastRenderedPageBreak/>
        <w:t>планируемых к введению при переводе работника на «эффективный контракт».</w:t>
      </w:r>
    </w:p>
    <w:p w:rsidR="002A58F7" w:rsidRPr="006769F5" w:rsidRDefault="002A58F7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Указанные мероприятия также должны включать периодические рассмотрения лучших практик формирования систем стимулирования в рамках «эффективного контракта» для последующего их тиражирования.</w:t>
      </w:r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>Также следует предусмотреть внедрение систем нормирования труда в учреждениях здравоохранения с учетом методических рекомендаций, утвержденных приказом Минтруда России от 30 сентября 2013 г. № 504, в том числе, учитывая, что в соответствии со статьей 159 Трудового кодекса Российской Федерации, системы нормирования труда определяются работодателем с учетом мнения представительного органа работников или устанавливаются коллективным договором.</w:t>
      </w:r>
      <w:proofErr w:type="gramEnd"/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Устанавливаемые при этом нормы труда должны соответствовать достигнутому уровню техники, технологии, организации производства и труда. Системы нормирования труда в учреждениях здравоохранения направлены </w:t>
      </w:r>
      <w:proofErr w:type="gramStart"/>
      <w:r w:rsidRPr="006769F5">
        <w:rPr>
          <w:rFonts w:cs="Times New Roman"/>
          <w:sz w:val="28"/>
          <w:szCs w:val="28"/>
        </w:rPr>
        <w:t>на</w:t>
      </w:r>
      <w:proofErr w:type="gramEnd"/>
      <w:r w:rsidRPr="006769F5">
        <w:rPr>
          <w:rFonts w:cs="Times New Roman"/>
          <w:sz w:val="28"/>
          <w:szCs w:val="28"/>
        </w:rPr>
        <w:t>:</w:t>
      </w:r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повышение эффективности обслуживания потребителей государственных (муниципальных) услуг.</w:t>
      </w:r>
    </w:p>
    <w:p w:rsidR="000A4D9C" w:rsidRPr="006769F5" w:rsidRDefault="000A4D9C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Мероприятия по организации в 2014 году подготовки к внедрению с 2016 года профессиональных стандартов с проведением мероприятий</w:t>
      </w:r>
      <w:r w:rsidR="001B4C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п</w:t>
      </w:r>
      <w:r w:rsidR="001B4C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вышению квалификации и переподготовке работников сферы</w:t>
      </w:r>
      <w:r w:rsidR="001B4C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здравоохр</w:t>
      </w:r>
      <w:r w:rsidR="001B4C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1B4C9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нения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с целью обеспечения соответствия работников современным квалифик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ционным требованиям, в том числе, работников государственных учреждений, занимающихся вопросами трудовых отношений и оплаты труда работников.</w:t>
      </w:r>
    </w:p>
    <w:p w:rsidR="000A4D9C" w:rsidRPr="006769F5" w:rsidRDefault="000A4D9C" w:rsidP="006769F5">
      <w:pPr>
        <w:autoSpaceDE w:val="0"/>
        <w:adjustRightInd w:val="0"/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 xml:space="preserve">Во избежание социальной напряженности в трудовых коллективах при отборе кандидатов для перевода на «эффективный контакт», а также в целом по ситуации с повышением заработной платы по категориям медицинских </w:t>
      </w:r>
      <w:r w:rsidRPr="006769F5">
        <w:rPr>
          <w:rFonts w:cs="Times New Roman"/>
          <w:sz w:val="28"/>
          <w:szCs w:val="28"/>
        </w:rPr>
        <w:lastRenderedPageBreak/>
        <w:t>работников в «дорожных картах» следует предусмотреть проведение разъяснительной работы с участием профсоюзных организаций в трудовых коллективах о мероприятиях, реализуемых в рамках региональных «дорожных карт».</w:t>
      </w:r>
      <w:proofErr w:type="gramEnd"/>
    </w:p>
    <w:p w:rsidR="002A58F7" w:rsidRPr="006769F5" w:rsidRDefault="000A4D9C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Внедрение нормативного </w:t>
      </w:r>
      <w:proofErr w:type="spell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подушевого</w:t>
      </w:r>
      <w:proofErr w:type="spellEnd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финансирования.</w:t>
      </w:r>
    </w:p>
    <w:p w:rsidR="00032D56" w:rsidRPr="006769F5" w:rsidRDefault="00504F5F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онтроль за выполнением в полном объеме мер по созданию пр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зрачного механизма оплаты труда руководителей государственных (муниц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пальных) учреждений (Федеральный закон от 29.12.2012 № 280-ФЗ «О внес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нии изменений в отдельные законодательные акты Российской Федерации в части создания прозрачного механизма оплаты труда руководителей государс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венных (муниципальных) учреждений и представления руководителями этих учреждений сведений о доходах, об имуществе и обязательствах имуществе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</w:t>
      </w:r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ного характера»), включая представление ими сведений</w:t>
      </w:r>
      <w:proofErr w:type="gramEnd"/>
      <w:r w:rsidR="00D62F73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 доходах и имуществе и размещение их в системе Интернет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заключение дополнительных с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глашений к трудовым договорам с руководителями учреждений (трудовых д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говоров для вновь назначаемых руководителей) по типовой форме, утвержде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</w:t>
      </w:r>
      <w:r w:rsidR="009B09F1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ной постановлением Правительства Российской Федерации от 12 апреля 2013 г. № 329.</w:t>
      </w:r>
      <w:r w:rsidR="00032D56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A4D9C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Так</w:t>
      </w:r>
      <w:r w:rsidR="004D2E4A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же следует предусмотреть с</w:t>
      </w:r>
      <w:r w:rsidR="00032D56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облюдение установленных соотношений средней заработной платы руководителя учреждения и средней заработной пл</w:t>
      </w:r>
      <w:r w:rsidR="00032D56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032D56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ты работников учреждений.</w:t>
      </w:r>
    </w:p>
    <w:p w:rsidR="0054120A" w:rsidRPr="006769F5" w:rsidRDefault="000A4D9C" w:rsidP="006769F5">
      <w:pPr>
        <w:pStyle w:val="a5"/>
        <w:numPr>
          <w:ilvl w:val="0"/>
          <w:numId w:val="3"/>
        </w:numPr>
        <w:autoSpaceDE w:val="0"/>
        <w:adjustRightInd w:val="0"/>
        <w:spacing w:after="0" w:line="360" w:lineRule="auto"/>
        <w:ind w:left="567" w:right="-568"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Включение </w:t>
      </w:r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показателей </w:t>
      </w:r>
      <w:r w:rsidR="0054120A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независимой системы оценки качества р</w:t>
      </w:r>
      <w:r w:rsidR="0054120A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54120A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боты медицинских</w:t>
      </w:r>
      <w:proofErr w:type="gramEnd"/>
      <w:r w:rsidR="0054120A"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организаций, оказывающих услуги в сфере здравоохранения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</w:t>
      </w:r>
      <w:r w:rsidRPr="006769F5">
        <w:rPr>
          <w:rFonts w:ascii="Times New Roman" w:hAnsi="Times New Roman" w:cs="Times New Roman"/>
          <w:sz w:val="28"/>
          <w:szCs w:val="28"/>
        </w:rPr>
        <w:t xml:space="preserve"> целях формирования независимой системы оценки качества работы медици</w:t>
      </w:r>
      <w:r w:rsidRPr="006769F5">
        <w:rPr>
          <w:rFonts w:ascii="Times New Roman" w:hAnsi="Times New Roman" w:cs="Times New Roman"/>
          <w:sz w:val="28"/>
          <w:szCs w:val="28"/>
        </w:rPr>
        <w:t>н</w:t>
      </w:r>
      <w:r w:rsidRPr="006769F5">
        <w:rPr>
          <w:rFonts w:ascii="Times New Roman" w:hAnsi="Times New Roman" w:cs="Times New Roman"/>
          <w:sz w:val="28"/>
          <w:szCs w:val="28"/>
        </w:rPr>
        <w:t>ских организаций, т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аких как «Обеспечение функционирования независимой системы оценки качества работы медицинских организаций» в соответствии с приказом Минздрава России от 31 октября 2013 г. № 810а; «Обеспечение </w:t>
      </w:r>
      <w:proofErr w:type="gramStart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мон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торинга проведения независимой оценки качества работы медицинских орган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</w:t>
      </w:r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заций</w:t>
      </w:r>
      <w:proofErr w:type="gramEnd"/>
      <w:r w:rsidRPr="006769F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региональном уровне» в соответствии с приказом Минздрава России от 31 октября 2013 г. № 810а.</w:t>
      </w:r>
    </w:p>
    <w:p w:rsidR="000A4D9C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 xml:space="preserve">Минздравом России в целях обеспечения единых подходов к </w:t>
      </w:r>
      <w:r w:rsidRPr="006769F5">
        <w:rPr>
          <w:rFonts w:cs="Times New Roman"/>
          <w:sz w:val="28"/>
          <w:szCs w:val="28"/>
        </w:rPr>
        <w:lastRenderedPageBreak/>
        <w:t>формированию независимой системы оценки качества работы государственных (муниципальных) учреждений, оказывающих услуги в сфере здравоохранения принят приказ от 31 октября 2013 г. № 810а «Об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здравоохранения» (далее - приказ Минздрава России от 31 октября 2013 г. № 810а)</w:t>
      </w:r>
      <w:r w:rsidR="000A4D9C" w:rsidRPr="006769F5">
        <w:rPr>
          <w:rFonts w:cs="Times New Roman"/>
          <w:sz w:val="28"/>
          <w:szCs w:val="28"/>
        </w:rPr>
        <w:t>.</w:t>
      </w:r>
      <w:proofErr w:type="gramEnd"/>
    </w:p>
    <w:p w:rsidR="0054120A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eastAsia="Calibri" w:cs="Times New Roman"/>
          <w:sz w:val="28"/>
          <w:szCs w:val="28"/>
        </w:rPr>
        <w:t>В соответствии с данным приказом, основной задачей проведения независимой оценки качества является оценка потребителями услуг качества работы медицинских организаций.</w:t>
      </w:r>
      <w:r w:rsidR="006769F5">
        <w:rPr>
          <w:rFonts w:eastAsia="Calibri" w:cs="Times New Roman"/>
          <w:sz w:val="28"/>
          <w:szCs w:val="28"/>
        </w:rPr>
        <w:t xml:space="preserve"> </w:t>
      </w:r>
      <w:r w:rsidRPr="006769F5">
        <w:rPr>
          <w:rFonts w:cs="Times New Roman"/>
          <w:sz w:val="28"/>
          <w:szCs w:val="28"/>
        </w:rPr>
        <w:t>Проведение независимой оценки качества направлено на обеспечение потребителей услуг дополнительной информацией о качестве работы медицинской организации, определение результативности деятельности медицинской организации и принятие своевременных мер по повышению эффективности ее деятельности, своевременное выявление негативных факторов, влияющих на качество предоставления услуг в сфере здравоохранения, а также  стимулирование руководителей и работников медицинских организаций.</w:t>
      </w:r>
    </w:p>
    <w:p w:rsidR="0054120A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proofErr w:type="gramStart"/>
      <w:r w:rsidRPr="006769F5">
        <w:rPr>
          <w:rFonts w:cs="Times New Roman"/>
          <w:sz w:val="28"/>
          <w:szCs w:val="28"/>
        </w:rPr>
        <w:t>В соответствии с приказом Минздрава России от 31 октября 2013 г. № 810а организацию проведения независимой оценки качества в субъекте Российской Федерации осуществляет орган государственной власти субъекта Российской Федерации в сфере охраны здоровья, на который возлагаются следующие функции:</w:t>
      </w:r>
      <w:proofErr w:type="gramEnd"/>
    </w:p>
    <w:p w:rsidR="0054120A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общее организационное обеспечение проведения независимой оценки качества;</w:t>
      </w:r>
    </w:p>
    <w:p w:rsidR="0054120A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>мониторинг проведения независимой оценки на региональном уровне;</w:t>
      </w:r>
    </w:p>
    <w:p w:rsidR="0054120A" w:rsidRPr="006769F5" w:rsidRDefault="0054120A" w:rsidP="006769F5">
      <w:pPr>
        <w:spacing w:line="360" w:lineRule="auto"/>
        <w:ind w:left="567" w:right="-568" w:firstLine="709"/>
        <w:jc w:val="both"/>
        <w:rPr>
          <w:rFonts w:cs="Times New Roman"/>
          <w:sz w:val="28"/>
          <w:szCs w:val="28"/>
        </w:rPr>
      </w:pPr>
      <w:r w:rsidRPr="006769F5">
        <w:rPr>
          <w:rFonts w:cs="Times New Roman"/>
          <w:sz w:val="28"/>
          <w:szCs w:val="28"/>
        </w:rPr>
        <w:t xml:space="preserve">обеспечение технической возможности выражения мнений потребителями услуг в сфере здравоохранения о работе медицинских организаций и удовлетворенности качеством обслуживания в медицинской организации на официальном сайте учредителя в сети «Интернет», а также на официальных сайтах медицинских организаций, находящихся в ведении учредителя. </w:t>
      </w:r>
    </w:p>
    <w:sectPr w:rsidR="0054120A" w:rsidRPr="006769F5" w:rsidSect="00A454E5">
      <w:headerReference w:type="default" r:id="rId8"/>
      <w:pgSz w:w="11906" w:h="16838"/>
      <w:pgMar w:top="709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7F" w:rsidRDefault="0070007F" w:rsidP="00682C19">
      <w:r>
        <w:separator/>
      </w:r>
    </w:p>
  </w:endnote>
  <w:endnote w:type="continuationSeparator" w:id="0">
    <w:p w:rsidR="0070007F" w:rsidRDefault="0070007F" w:rsidP="0068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7F" w:rsidRDefault="0070007F" w:rsidP="00682C19">
      <w:r w:rsidRPr="00682C19">
        <w:rPr>
          <w:color w:val="000000"/>
        </w:rPr>
        <w:separator/>
      </w:r>
    </w:p>
  </w:footnote>
  <w:footnote w:type="continuationSeparator" w:id="0">
    <w:p w:rsidR="0070007F" w:rsidRDefault="0070007F" w:rsidP="0068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389332"/>
      <w:docPartObj>
        <w:docPartGallery w:val="Page Numbers (Top of Page)"/>
        <w:docPartUnique/>
      </w:docPartObj>
    </w:sdtPr>
    <w:sdtContent>
      <w:p w:rsidR="00A454E5" w:rsidRDefault="00D55270">
        <w:pPr>
          <w:pStyle w:val="a6"/>
          <w:jc w:val="center"/>
        </w:pPr>
        <w:fldSimple w:instr="PAGE   \* MERGEFORMAT">
          <w:r w:rsidR="006D2F12">
            <w:rPr>
              <w:noProof/>
            </w:rPr>
            <w:t>8</w:t>
          </w:r>
        </w:fldSimple>
      </w:p>
    </w:sdtContent>
  </w:sdt>
  <w:p w:rsidR="00A454E5" w:rsidRDefault="00A45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BB"/>
    <w:multiLevelType w:val="hybridMultilevel"/>
    <w:tmpl w:val="608C6BC4"/>
    <w:lvl w:ilvl="0" w:tplc="633EAB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8F690B"/>
    <w:multiLevelType w:val="hybridMultilevel"/>
    <w:tmpl w:val="B538A19C"/>
    <w:lvl w:ilvl="0" w:tplc="062E5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2C19"/>
    <w:rsid w:val="00032D56"/>
    <w:rsid w:val="00042971"/>
    <w:rsid w:val="00067480"/>
    <w:rsid w:val="000A4D9C"/>
    <w:rsid w:val="00113ADE"/>
    <w:rsid w:val="0015714C"/>
    <w:rsid w:val="001B4C9D"/>
    <w:rsid w:val="001C36EB"/>
    <w:rsid w:val="00237C3D"/>
    <w:rsid w:val="002A58F7"/>
    <w:rsid w:val="002C4AC9"/>
    <w:rsid w:val="002E6E30"/>
    <w:rsid w:val="002F2EF2"/>
    <w:rsid w:val="0033563A"/>
    <w:rsid w:val="0034779D"/>
    <w:rsid w:val="00382400"/>
    <w:rsid w:val="0039089D"/>
    <w:rsid w:val="003E7256"/>
    <w:rsid w:val="004223BF"/>
    <w:rsid w:val="00427746"/>
    <w:rsid w:val="004B32A4"/>
    <w:rsid w:val="004D0B9F"/>
    <w:rsid w:val="004D2E4A"/>
    <w:rsid w:val="00504F5F"/>
    <w:rsid w:val="0051299B"/>
    <w:rsid w:val="00531ECF"/>
    <w:rsid w:val="0054120A"/>
    <w:rsid w:val="005902EC"/>
    <w:rsid w:val="005F2260"/>
    <w:rsid w:val="0062657F"/>
    <w:rsid w:val="00661B85"/>
    <w:rsid w:val="00667991"/>
    <w:rsid w:val="006769F5"/>
    <w:rsid w:val="00682C19"/>
    <w:rsid w:val="006A0FD0"/>
    <w:rsid w:val="006C3FBC"/>
    <w:rsid w:val="006D2F12"/>
    <w:rsid w:val="0070007F"/>
    <w:rsid w:val="00712FFE"/>
    <w:rsid w:val="00740BEF"/>
    <w:rsid w:val="0075155E"/>
    <w:rsid w:val="00760F34"/>
    <w:rsid w:val="00830732"/>
    <w:rsid w:val="0087298C"/>
    <w:rsid w:val="009904FB"/>
    <w:rsid w:val="009B09F1"/>
    <w:rsid w:val="00A454E5"/>
    <w:rsid w:val="00AA4BE3"/>
    <w:rsid w:val="00AE0747"/>
    <w:rsid w:val="00B21F5E"/>
    <w:rsid w:val="00B5392E"/>
    <w:rsid w:val="00B74684"/>
    <w:rsid w:val="00BF0440"/>
    <w:rsid w:val="00C50901"/>
    <w:rsid w:val="00C64120"/>
    <w:rsid w:val="00C64C75"/>
    <w:rsid w:val="00CC5150"/>
    <w:rsid w:val="00CE5311"/>
    <w:rsid w:val="00D02DE1"/>
    <w:rsid w:val="00D34DF8"/>
    <w:rsid w:val="00D35000"/>
    <w:rsid w:val="00D55270"/>
    <w:rsid w:val="00D62F73"/>
    <w:rsid w:val="00D77E77"/>
    <w:rsid w:val="00D86AD3"/>
    <w:rsid w:val="00D96603"/>
    <w:rsid w:val="00DC5FAC"/>
    <w:rsid w:val="00E504C1"/>
    <w:rsid w:val="00E774EF"/>
    <w:rsid w:val="00EB13DB"/>
    <w:rsid w:val="00F26E1C"/>
    <w:rsid w:val="00F671F5"/>
    <w:rsid w:val="00F86D92"/>
    <w:rsid w:val="00F94EEF"/>
    <w:rsid w:val="00FA0D38"/>
    <w:rsid w:val="00FB7090"/>
    <w:rsid w:val="00FC5B75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C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C19"/>
    <w:pPr>
      <w:suppressAutoHyphens/>
    </w:pPr>
  </w:style>
  <w:style w:type="paragraph" w:styleId="a3">
    <w:name w:val="Title"/>
    <w:basedOn w:val="Standard"/>
    <w:next w:val="Textbody"/>
    <w:rsid w:val="00682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2C19"/>
    <w:pPr>
      <w:spacing w:after="120"/>
    </w:pPr>
  </w:style>
  <w:style w:type="paragraph" w:styleId="a4">
    <w:name w:val="List"/>
    <w:basedOn w:val="Textbody"/>
    <w:rsid w:val="00682C19"/>
  </w:style>
  <w:style w:type="paragraph" w:customStyle="1" w:styleId="1">
    <w:name w:val="Название объекта1"/>
    <w:basedOn w:val="Standard"/>
    <w:rsid w:val="00682C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C19"/>
    <w:pPr>
      <w:suppressLineNumbers/>
    </w:pPr>
  </w:style>
  <w:style w:type="paragraph" w:customStyle="1" w:styleId="10">
    <w:name w:val="Абзац списка1"/>
    <w:basedOn w:val="Standard"/>
    <w:rsid w:val="00682C19"/>
    <w:pPr>
      <w:spacing w:line="360" w:lineRule="atLeast"/>
      <w:ind w:left="720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Internetlink">
    <w:name w:val="Internet link"/>
    <w:rsid w:val="00682C1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D62F7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02DE1"/>
  </w:style>
  <w:style w:type="paragraph" w:styleId="a6">
    <w:name w:val="header"/>
    <w:basedOn w:val="a"/>
    <w:link w:val="a7"/>
    <w:uiPriority w:val="99"/>
    <w:unhideWhenUsed/>
    <w:rsid w:val="006769F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769F5"/>
    <w:rPr>
      <w:szCs w:val="21"/>
    </w:rPr>
  </w:style>
  <w:style w:type="paragraph" w:styleId="a8">
    <w:name w:val="footer"/>
    <w:basedOn w:val="a"/>
    <w:link w:val="a9"/>
    <w:uiPriority w:val="99"/>
    <w:unhideWhenUsed/>
    <w:rsid w:val="006769F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769F5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C19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C19"/>
    <w:pPr>
      <w:suppressAutoHyphens/>
    </w:pPr>
  </w:style>
  <w:style w:type="paragraph" w:styleId="a3">
    <w:name w:val="Title"/>
    <w:basedOn w:val="Standard"/>
    <w:next w:val="Textbody"/>
    <w:rsid w:val="00682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82C19"/>
    <w:pPr>
      <w:spacing w:after="120"/>
    </w:pPr>
  </w:style>
  <w:style w:type="paragraph" w:styleId="a4">
    <w:name w:val="List"/>
    <w:basedOn w:val="Textbody"/>
    <w:rsid w:val="00682C19"/>
  </w:style>
  <w:style w:type="paragraph" w:customStyle="1" w:styleId="1">
    <w:name w:val="Название объекта1"/>
    <w:basedOn w:val="Standard"/>
    <w:rsid w:val="00682C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2C19"/>
    <w:pPr>
      <w:suppressLineNumbers/>
    </w:pPr>
  </w:style>
  <w:style w:type="paragraph" w:customStyle="1" w:styleId="10">
    <w:name w:val="Абзац списка1"/>
    <w:basedOn w:val="Standard"/>
    <w:rsid w:val="00682C19"/>
    <w:pPr>
      <w:spacing w:line="360" w:lineRule="atLeast"/>
      <w:ind w:left="720"/>
      <w:jc w:val="both"/>
    </w:pPr>
    <w:rPr>
      <w:rFonts w:ascii="Times New Roman CYR" w:eastAsia="Times New Roman" w:hAnsi="Times New Roman CYR" w:cs="Times New Roman"/>
      <w:szCs w:val="20"/>
      <w:lang w:eastAsia="ru-RU"/>
    </w:rPr>
  </w:style>
  <w:style w:type="character" w:customStyle="1" w:styleId="Internetlink">
    <w:name w:val="Internet link"/>
    <w:rsid w:val="00682C1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D62F7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D02DE1"/>
  </w:style>
  <w:style w:type="paragraph" w:styleId="a6">
    <w:name w:val="header"/>
    <w:basedOn w:val="a"/>
    <w:link w:val="a7"/>
    <w:uiPriority w:val="99"/>
    <w:unhideWhenUsed/>
    <w:rsid w:val="006769F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769F5"/>
    <w:rPr>
      <w:szCs w:val="21"/>
    </w:rPr>
  </w:style>
  <w:style w:type="paragraph" w:styleId="a8">
    <w:name w:val="footer"/>
    <w:basedOn w:val="a"/>
    <w:link w:val="a9"/>
    <w:uiPriority w:val="99"/>
    <w:unhideWhenUsed/>
    <w:rsid w:val="006769F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769F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582B4965A0CE08141EEA26943022AFDC4EEE8CE96F45B4AD0A40299BAC14BD5C56F707D153929e3S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Алексей Олегович</dc:creator>
  <cp:lastModifiedBy>GudkovAO</cp:lastModifiedBy>
  <cp:revision>2</cp:revision>
  <cp:lastPrinted>2014-03-07T14:12:00Z</cp:lastPrinted>
  <dcterms:created xsi:type="dcterms:W3CDTF">2014-03-12T06:57:00Z</dcterms:created>
  <dcterms:modified xsi:type="dcterms:W3CDTF">2014-03-12T06:57:00Z</dcterms:modified>
</cp:coreProperties>
</file>